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before="6" w:lineRule="auto"/>
        <w:rPr>
          <w:rFonts w:ascii="Times New Roman" w:cs="Times New Roman" w:eastAsia="Times New Roman" w:hAnsi="Times New Roman"/>
          <w:sz w:val="18"/>
          <w:szCs w:val="18"/>
        </w:rPr>
      </w:pPr>
      <w:bookmarkStart w:colFirst="0" w:colLast="0" w:name="_heading=h.93ocr1uy6h52" w:id="1"/>
      <w:bookmarkEnd w:id="1"/>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30"/>
        <w:tblGridChange w:id="0">
          <w:tblGrid>
            <w:gridCol w:w="9030"/>
          </w:tblGrid>
        </w:tblGridChange>
      </w:tblGrid>
      <w:tr>
        <w:trPr>
          <w:cantSplit w:val="0"/>
          <w:trHeight w:val="1403.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CONTRATO PARA LA REALIZACIÓN DEL ENSAYO CLÍNICO ‘’    ’’</w:t>
            </w:r>
          </w:p>
          <w:p w:rsidR="00000000" w:rsidDel="00000000" w:rsidP="00000000" w:rsidRDefault="00000000" w:rsidRPr="00000000" w14:paraId="0000000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rtl w:val="0"/>
              </w:rPr>
              <w:t xml:space="preserve">Nº EUDRACT:                                  Código de Protocolo:                 Código de la Fundación:</w:t>
            </w:r>
            <w:r w:rsidDel="00000000" w:rsidR="00000000" w:rsidRPr="00000000">
              <w:rPr>
                <w:rtl w:val="0"/>
              </w:rPr>
            </w:r>
          </w:p>
        </w:tc>
      </w:tr>
    </w:tbl>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08"/>
        </w:tabs>
        <w:spacing w:after="0" w:before="101" w:line="240" w:lineRule="auto"/>
        <w:ind w:left="26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Majadahonda, a</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 (fecha)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pStyle w:val="Heading1"/>
        <w:spacing w:before="101" w:lineRule="auto"/>
        <w:ind w:left="3768"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REUNIDOS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261"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una parte, D.</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 ….. respectivamente actuando en nombre  y  representación de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domicilio social en   calle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encontrándose facultados para este acto en virtud de escritura de poder nº</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debidamente  inscrita  en  el  Registro  Mercantil  de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otorgada ante el Notario del Ilustre Colegio de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 fecha</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spacing w:line="276" w:lineRule="auto"/>
        <w:ind w:left="261" w:right="25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una  parte, D.</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(nombre del  representante  legal  de  la CRO)</w:t>
      </w:r>
      <w:r w:rsidDel="00000000" w:rsidR="00000000" w:rsidRPr="00000000">
        <w:rPr>
          <w:rFonts w:ascii="Times New Roman" w:cs="Times New Roman" w:eastAsia="Times New Roman" w:hAnsi="Times New Roman"/>
          <w:rtl w:val="0"/>
        </w:rPr>
        <w:t xml:space="preserve">, con como representante legal de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(nombre de la CRO) </w:t>
      </w:r>
      <w:r w:rsidDel="00000000" w:rsidR="00000000" w:rsidRPr="00000000">
        <w:rPr>
          <w:rFonts w:ascii="Times New Roman" w:cs="Times New Roman" w:eastAsia="Times New Roman" w:hAnsi="Times New Roman"/>
          <w:rtl w:val="0"/>
        </w:rPr>
        <w:t xml:space="preserve">y con domicilio social en</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(dirección completa de la CRO) </w:t>
      </w:r>
      <w:r w:rsidDel="00000000" w:rsidR="00000000" w:rsidRPr="00000000">
        <w:rPr>
          <w:rFonts w:ascii="Times New Roman" w:cs="Times New Roman" w:eastAsia="Times New Roman" w:hAnsi="Times New Roman"/>
          <w:rtl w:val="0"/>
        </w:rPr>
        <w:t xml:space="preserve">de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(población y código postal) </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CRO</w:t>
      </w:r>
      <w:r w:rsidDel="00000000" w:rsidR="00000000" w:rsidRPr="00000000">
        <w:rPr>
          <w:rFonts w:ascii="Times New Roman" w:cs="Times New Roman" w:eastAsia="Times New Roman" w:hAnsi="Times New Roman"/>
          <w:rtl w:val="0"/>
        </w:rPr>
        <w:t xml:space="preserve">), actuando en nombre y representación del </w:t>
      </w:r>
      <w:r w:rsidDel="00000000" w:rsidR="00000000" w:rsidRPr="00000000">
        <w:rPr>
          <w:rFonts w:ascii="Times New Roman" w:cs="Times New Roman" w:eastAsia="Times New Roman" w:hAnsi="Times New Roman"/>
          <w:b w:val="1"/>
          <w:rtl w:val="0"/>
        </w:rPr>
        <w:t xml:space="preserve">PROMOTOR </w:t>
      </w:r>
      <w:r w:rsidDel="00000000" w:rsidR="00000000" w:rsidRPr="00000000">
        <w:rPr>
          <w:rFonts w:ascii="Times New Roman" w:cs="Times New Roman" w:eastAsia="Times New Roman" w:hAnsi="Times New Roman"/>
          <w:i w:val="1"/>
          <w:u w:val="single"/>
          <w:rtl w:val="0"/>
        </w:rPr>
        <w:t xml:space="preserve">       </w:t>
      </w:r>
      <w:r w:rsidDel="00000000" w:rsidR="00000000" w:rsidRPr="00000000">
        <w:rPr>
          <w:rFonts w:ascii="Times New Roman" w:cs="Times New Roman" w:eastAsia="Times New Roman" w:hAnsi="Times New Roman"/>
          <w:i w:val="1"/>
          <w:rtl w:val="0"/>
        </w:rPr>
        <w:t xml:space="preserve"> (nombre completo, domicilio y CIF de la entidad PROMOTORA – laboratorio farmacéutico, sociedad científica, persona jurídica-), (</w:t>
      </w:r>
      <w:r w:rsidDel="00000000" w:rsidR="00000000" w:rsidRPr="00000000">
        <w:rPr>
          <w:rFonts w:ascii="Times New Roman" w:cs="Times New Roman" w:eastAsia="Times New Roman" w:hAnsi="Times New Roman"/>
          <w:rtl w:val="0"/>
        </w:rPr>
        <w:t xml:space="preserve">en adelante,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 xml:space="preserve">), autorizado al efecto, conforme a los poderes expedidos en </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_, con fecha</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ante el notario D. </w:t>
      </w:r>
      <w:r w:rsidDel="00000000" w:rsidR="00000000" w:rsidRPr="00000000">
        <w:rPr>
          <w:rFonts w:ascii="Times New Roman" w:cs="Times New Roman" w:eastAsia="Times New Roman" w:hAnsi="Times New Roman"/>
          <w:u w:val="single"/>
          <w:rtl w:val="0"/>
        </w:rPr>
        <w:t xml:space="preserve">     </w:t>
      </w:r>
      <w:r w:rsidDel="00000000" w:rsidR="00000000" w:rsidRPr="00000000">
        <w:rPr>
          <w:rtl w:val="0"/>
        </w:rPr>
      </w:r>
    </w:p>
    <w:p w:rsidR="00000000" w:rsidDel="00000000" w:rsidP="00000000" w:rsidRDefault="00000000" w:rsidRPr="00000000" w14:paraId="00000010">
      <w:pPr>
        <w:spacing w:line="276" w:lineRule="auto"/>
        <w:ind w:left="261" w:right="25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line="276" w:lineRule="auto"/>
        <w:ind w:left="261" w:right="255"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No eximiendo de  la responsabilidad que le compete al </w:t>
      </w:r>
      <w:r w:rsidDel="00000000" w:rsidR="00000000" w:rsidRPr="00000000">
        <w:rPr>
          <w:rFonts w:ascii="Times New Roman" w:cs="Times New Roman" w:eastAsia="Times New Roman" w:hAnsi="Times New Roman"/>
          <w:b w:val="1"/>
          <w:rtl w:val="0"/>
        </w:rPr>
        <w:t xml:space="preserve">PROMOTOR </w:t>
      </w:r>
      <w:r w:rsidDel="00000000" w:rsidR="00000000" w:rsidRPr="00000000">
        <w:rPr>
          <w:rFonts w:ascii="Times New Roman" w:cs="Times New Roman" w:eastAsia="Times New Roman" w:hAnsi="Times New Roman"/>
          <w:rtl w:val="0"/>
        </w:rPr>
        <w:t xml:space="preserve">según el RD 1090/2015, de 4 de diciembre, por el que se regulan los ensayos clínicos con medicamentos, los Comités de Ética de la Investigación con medicamentos y el Registro Español de Estudios Clínicos, (en adelante RD 1090/2015, de 4 de diciembre).</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1" w:right="24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otra, D. Fernando Neira Álvarez, actuando en nombre y representación de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PARA LA</w:t>
        <w:tab/>
        <w:t xml:space="preserve">INVESTIGACIÓN BIOMÉDICA DEL HOSPITAL UNIVERSITARIO PUERTA DE HIERRO MAJADAHONDA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domicilio social en C/ Joaquín Rodrigo 2, Edificio laboratorios, Planta 0, 28222 de Majadahonda, conforme a los poderes expedidos en Madrid ante el notario del Ilustre Colegio de Madrid, Dª Carmen Boulet Alonso, con número dos mil quinientos noventa de fecha diez de diciembre de 2021.</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1" w:right="24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tabs>
          <w:tab w:val="left" w:leader="none" w:pos="8776"/>
        </w:tabs>
        <w:spacing w:before="91" w:line="276" w:lineRule="auto"/>
        <w:ind w:left="283.46456692913375" w:right="25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De otra parte D. José Gilberto González Antón, actuando en nombre y representación del </w:t>
      </w:r>
      <w:r w:rsidDel="00000000" w:rsidR="00000000" w:rsidRPr="00000000">
        <w:rPr>
          <w:rFonts w:ascii="Times New Roman" w:cs="Times New Roman" w:eastAsia="Times New Roman" w:hAnsi="Times New Roman"/>
          <w:b w:val="1"/>
          <w:rtl w:val="0"/>
        </w:rPr>
        <w:t xml:space="preserve">SERVICIO MADRILEÑO DE SALUD</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SERMAS</w:t>
      </w:r>
      <w:r w:rsidDel="00000000" w:rsidR="00000000" w:rsidRPr="00000000">
        <w:rPr>
          <w:rFonts w:ascii="Times New Roman" w:cs="Times New Roman" w:eastAsia="Times New Roman" w:hAnsi="Times New Roman"/>
          <w:rtl w:val="0"/>
        </w:rPr>
        <w:t xml:space="preserve">), actuando de conformidad con lo dispuesto en el artículo 23.2.a) del Decreto 24/2008, de 3 de abril, del Consejo de Gobierno, por el que se establece el régimen jurídico y de funcionamiento del Servicio Madrileño de Salud, y de acuerdo con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 en su calidad de Director Gerente del </w:t>
      </w:r>
      <w:r w:rsidDel="00000000" w:rsidR="00000000" w:rsidRPr="00000000">
        <w:rPr>
          <w:rFonts w:ascii="Times New Roman" w:cs="Times New Roman" w:eastAsia="Times New Roman" w:hAnsi="Times New Roman"/>
          <w:b w:val="1"/>
          <w:rtl w:val="0"/>
        </w:rPr>
        <w:t xml:space="preserve">HOSPITAL UNIVERSITARIO SEVERO OCHOA</w:t>
      </w:r>
      <w:r w:rsidDel="00000000" w:rsidR="00000000" w:rsidRPr="00000000">
        <w:rPr>
          <w:rFonts w:ascii="Times New Roman" w:cs="Times New Roman" w:eastAsia="Times New Roman" w:hAnsi="Times New Roman"/>
          <w:rtl w:val="0"/>
        </w:rPr>
        <w:t xml:space="preserve">, con domicilio social en Avenida de Orellana s/n, 28911 Leganés (Madrid) y C.I.F. nº Q-2869090-G (en adelante,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16">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line="276" w:lineRule="auto"/>
        <w:ind w:left="26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line="276" w:lineRule="auto"/>
        <w:ind w:left="26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line="276" w:lineRule="auto"/>
        <w:ind w:left="261" w:right="25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de otra parte D.</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actuando en su propio nombre y derecho (en  adelante, </w:t>
      </w:r>
      <w:r w:rsidDel="00000000" w:rsidR="00000000" w:rsidRPr="00000000">
        <w:rPr>
          <w:rFonts w:ascii="Times New Roman" w:cs="Times New Roman" w:eastAsia="Times New Roman" w:hAnsi="Times New Roman"/>
          <w:b w:val="1"/>
          <w:rtl w:val="0"/>
        </w:rPr>
        <w:t xml:space="preserve">INVESTIGADOR PRINCIPA</w:t>
      </w:r>
      <w:r w:rsidDel="00000000" w:rsidR="00000000" w:rsidRPr="00000000">
        <w:rPr>
          <w:rFonts w:ascii="Times New Roman" w:cs="Times New Roman" w:eastAsia="Times New Roman" w:hAnsi="Times New Roman"/>
          <w:rtl w:val="0"/>
        </w:rPr>
        <w:t xml:space="preserve">L), con domicilio, a efectos de notificaciones, en el Servicio _ del </w:t>
      </w:r>
      <w:r w:rsidDel="00000000" w:rsidR="00000000" w:rsidRPr="00000000">
        <w:rPr>
          <w:rFonts w:ascii="Times New Roman" w:cs="Times New Roman" w:eastAsia="Times New Roman" w:hAnsi="Times New Roman"/>
          <w:b w:val="1"/>
          <w:rtl w:val="0"/>
        </w:rPr>
        <w:t xml:space="preserve">HOSPITAL </w:t>
      </w:r>
      <w:r w:rsidDel="00000000" w:rsidR="00000000" w:rsidRPr="00000000">
        <w:rPr>
          <w:rFonts w:ascii="Times New Roman" w:cs="Times New Roman" w:eastAsia="Times New Roman" w:hAnsi="Times New Roman"/>
          <w:rtl w:val="0"/>
        </w:rPr>
        <w:t xml:space="preserve">situado en Avenida de Orellana s/n, 28911 Leganés (Madrid)</w:t>
      </w:r>
      <w:r w:rsidDel="00000000" w:rsidR="00000000" w:rsidRPr="00000000">
        <w:rPr>
          <w:rFonts w:ascii="Times New Roman" w:cs="Times New Roman" w:eastAsia="Times New Roman" w:hAnsi="Times New Roman"/>
          <w:i w:val="1"/>
          <w:rtl w:val="0"/>
        </w:rPr>
        <w:t xml:space="preserve">.</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76"/>
        </w:tabs>
        <w:spacing w:after="0" w:before="91" w:line="276" w:lineRule="auto"/>
        <w:ind w:left="261" w:right="254"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254"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de otra parte D.</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actuando en su propio nombre y derecho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 con domicilio, a efectos de notificaciones, en el Servicio _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situado en Avenida de Orellana s/n, 28911 Leganés (Madrid)</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26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Reconociéndose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capacidad mutua necesaria para obligarse por el presente Contrato (en adelante,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pStyle w:val="Heading1"/>
        <w:spacing w:before="231" w:lineRule="auto"/>
        <w:ind w:left="3769"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EXPONEN</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spacing w:line="278.00000000000006" w:lineRule="auto"/>
        <w:ind w:left="261" w:right="258"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Que el </w:t>
      </w:r>
      <w:r w:rsidDel="00000000" w:rsidR="00000000" w:rsidRPr="00000000">
        <w:rPr>
          <w:rFonts w:ascii="Times New Roman" w:cs="Times New Roman" w:eastAsia="Times New Roman" w:hAnsi="Times New Roman"/>
          <w:b w:val="1"/>
          <w:i w:val="1"/>
          <w:rtl w:val="0"/>
        </w:rPr>
        <w:t xml:space="preserve">PROMOTOR </w:t>
      </w:r>
      <w:r w:rsidDel="00000000" w:rsidR="00000000" w:rsidRPr="00000000">
        <w:rPr>
          <w:rFonts w:ascii="Times New Roman" w:cs="Times New Roman" w:eastAsia="Times New Roman" w:hAnsi="Times New Roman"/>
          <w:rtl w:val="0"/>
        </w:rPr>
        <w:t xml:space="preserve">está interesado en la realización del </w:t>
      </w:r>
      <w:r w:rsidDel="00000000" w:rsidR="00000000" w:rsidRPr="00000000">
        <w:rPr>
          <w:rFonts w:ascii="Times New Roman" w:cs="Times New Roman" w:eastAsia="Times New Roman" w:hAnsi="Times New Roman"/>
          <w:b w:val="1"/>
          <w:rtl w:val="0"/>
        </w:rPr>
        <w:t xml:space="preserve">ENSAYO  CLÍNICO </w:t>
      </w:r>
      <w:r w:rsidDel="00000000" w:rsidR="00000000" w:rsidRPr="00000000">
        <w:rPr>
          <w:rFonts w:ascii="Times New Roman" w:cs="Times New Roman" w:eastAsia="Times New Roman" w:hAnsi="Times New Roman"/>
          <w:rtl w:val="0"/>
        </w:rPr>
        <w:t xml:space="preserve">descrito en la cláusula primera del Contrato</w:t>
      </w: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22">
      <w:pPr>
        <w:spacing w:line="278.00000000000006" w:lineRule="auto"/>
        <w:ind w:left="261" w:right="258"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[Ajustar según situación concreta]</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261" w:right="25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como representante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podrá efectuar los pagos en su nombre.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254"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conforme a lo dispuesto en sus Estatutos tiene atribuida como función el desarrollo de la investigación, innovación y la gestión del conocimiento, inspirados en el principio de legalidad, los principios éticos y la deontología profesional, del que forman parte la gestión de los ensayos clínicos que se llevan a cabo en el HOSPITAL. Por otra parte la Fundación, conforme a lo dispuesto en el vigente Convenio con el SERMAS, tiene entre otros compromisos, la gestión de los ensayos clínicos que se llevan a cabo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76" w:lineRule="auto"/>
        <w:ind w:left="261" w:right="259"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Basándose en lo anteriormente expuesto,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deciden formalizar el presente Contrato, de acuerdo a las siguientes:</w:t>
      </w:r>
    </w:p>
    <w:p w:rsidR="00000000" w:rsidDel="00000000" w:rsidP="00000000" w:rsidRDefault="00000000" w:rsidRPr="00000000" w14:paraId="00000027">
      <w:pPr>
        <w:pStyle w:val="Heading1"/>
        <w:spacing w:before="231" w:lineRule="auto"/>
        <w:ind w:left="3770"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CLÁUSULAS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ind w:left="261"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PRIMERA</w:t>
      </w:r>
      <w:r w:rsidDel="00000000" w:rsidR="00000000" w:rsidRPr="00000000">
        <w:rPr>
          <w:rFonts w:ascii="Times New Roman" w:cs="Times New Roman" w:eastAsia="Times New Roman" w:hAnsi="Times New Roman"/>
          <w:b w:val="1"/>
          <w:rtl w:val="0"/>
        </w:rPr>
        <w:t xml:space="preserve">.- OBJETO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spacing w:before="91" w:line="276" w:lineRule="auto"/>
        <w:ind w:left="261" w:right="25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El objeto del presente Contrato es la realización del </w:t>
      </w:r>
      <w:r w:rsidDel="00000000" w:rsidR="00000000" w:rsidRPr="00000000">
        <w:rPr>
          <w:rFonts w:ascii="Times New Roman" w:cs="Times New Roman" w:eastAsia="Times New Roman" w:hAnsi="Times New Roman"/>
          <w:b w:val="1"/>
          <w:rtl w:val="0"/>
        </w:rPr>
        <w:t xml:space="preserve">ENSAYO </w:t>
      </w:r>
      <w:r w:rsidDel="00000000" w:rsidR="00000000" w:rsidRPr="00000000">
        <w:rPr>
          <w:rFonts w:ascii="Times New Roman" w:cs="Times New Roman" w:eastAsia="Times New Roman" w:hAnsi="Times New Roman"/>
          <w:rtl w:val="0"/>
        </w:rPr>
        <w:t xml:space="preserve">cuyo título es (en adelante </w:t>
      </w:r>
      <w:r w:rsidDel="00000000" w:rsidR="00000000" w:rsidRPr="00000000">
        <w:rPr>
          <w:rFonts w:ascii="Times New Roman" w:cs="Times New Roman" w:eastAsia="Times New Roman" w:hAnsi="Times New Roman"/>
          <w:b w:val="1"/>
          <w:rtl w:val="0"/>
        </w:rPr>
        <w:t xml:space="preserve">ENSAYO</w:t>
      </w:r>
      <w:r w:rsidDel="00000000" w:rsidR="00000000" w:rsidRPr="00000000">
        <w:rPr>
          <w:rFonts w:ascii="Times New Roman" w:cs="Times New Roman" w:eastAsia="Times New Roman" w:hAnsi="Times New Roman"/>
          <w:rtl w:val="0"/>
        </w:rPr>
        <w:t xml:space="preserve">) con código de protocolo</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PROTOCOLO</w:t>
      </w:r>
      <w:r w:rsidDel="00000000" w:rsidR="00000000" w:rsidRPr="00000000">
        <w:rPr>
          <w:rFonts w:ascii="Times New Roman" w:cs="Times New Roman" w:eastAsia="Times New Roman" w:hAnsi="Times New Roman"/>
          <w:rtl w:val="0"/>
        </w:rPr>
        <w:t xml:space="preserve">), que se llevará a cabo en las dependencias del </w:t>
      </w:r>
      <w:r w:rsidDel="00000000" w:rsidR="00000000" w:rsidRPr="00000000">
        <w:rPr>
          <w:rFonts w:ascii="Times New Roman" w:cs="Times New Roman" w:eastAsia="Times New Roman" w:hAnsi="Times New Roman"/>
          <w:b w:val="1"/>
          <w:rtl w:val="0"/>
        </w:rPr>
        <w:t xml:space="preserve">HOSPITAL, </w:t>
      </w:r>
      <w:r w:rsidDel="00000000" w:rsidR="00000000" w:rsidRPr="00000000">
        <w:rPr>
          <w:rFonts w:ascii="Times New Roman" w:cs="Times New Roman" w:eastAsia="Times New Roman" w:hAnsi="Times New Roman"/>
          <w:rtl w:val="0"/>
        </w:rPr>
        <w:t xml:space="preserve">sin perjuicio de que por razones organizativas, alguna técnica o visita pueda realizarse en una dependencia ajena, identificadas en el Anexo I del presente contrato, bajo la dirección y responsabilidad del </w:t>
      </w:r>
      <w:r w:rsidDel="00000000" w:rsidR="00000000" w:rsidRPr="00000000">
        <w:rPr>
          <w:rFonts w:ascii="Times New Roman" w:cs="Times New Roman" w:eastAsia="Times New Roman" w:hAnsi="Times New Roman"/>
          <w:b w:val="1"/>
          <w:rtl w:val="0"/>
        </w:rPr>
        <w:t xml:space="preserve">INVESTIGADOR PRINCIPAL </w:t>
      </w:r>
      <w:r w:rsidDel="00000000" w:rsidR="00000000" w:rsidRPr="00000000">
        <w:rPr>
          <w:rFonts w:ascii="Times New Roman" w:cs="Times New Roman" w:eastAsia="Times New Roman" w:hAnsi="Times New Roman"/>
          <w:rtl w:val="0"/>
        </w:rPr>
        <w:t xml:space="preserve">del mismo. El </w:t>
      </w:r>
      <w:r w:rsidDel="00000000" w:rsidR="00000000" w:rsidRPr="00000000">
        <w:rPr>
          <w:rFonts w:ascii="Times New Roman" w:cs="Times New Roman" w:eastAsia="Times New Roman" w:hAnsi="Times New Roman"/>
          <w:b w:val="1"/>
          <w:rtl w:val="0"/>
        </w:rPr>
        <w:t xml:space="preserve">ENSAYO </w:t>
      </w:r>
      <w:r w:rsidDel="00000000" w:rsidR="00000000" w:rsidRPr="00000000">
        <w:rPr>
          <w:rFonts w:ascii="Times New Roman" w:cs="Times New Roman" w:eastAsia="Times New Roman" w:hAnsi="Times New Roman"/>
          <w:rtl w:val="0"/>
        </w:rPr>
        <w:t xml:space="preserve">se realizará de acuerdo al contenido especificado en el </w:t>
      </w:r>
      <w:r w:rsidDel="00000000" w:rsidR="00000000" w:rsidRPr="00000000">
        <w:rPr>
          <w:rFonts w:ascii="Times New Roman" w:cs="Times New Roman" w:eastAsia="Times New Roman" w:hAnsi="Times New Roman"/>
          <w:b w:val="1"/>
          <w:rtl w:val="0"/>
        </w:rPr>
        <w:t xml:space="preserve">PROTOCOLO</w:t>
      </w:r>
      <w:r w:rsidDel="00000000" w:rsidR="00000000" w:rsidRPr="00000000">
        <w:rPr>
          <w:rFonts w:ascii="Times New Roman" w:cs="Times New Roman" w:eastAsia="Times New Roman" w:hAnsi="Times New Roman"/>
          <w:rtl w:val="0"/>
        </w:rPr>
        <w:t xml:space="preserve">, de versión y fecha coincidentes con las recogidas en el dictamen favorable actualizado del Comité de Ética de la Investigación con Medicamentos (en adelante </w:t>
      </w:r>
      <w:r w:rsidDel="00000000" w:rsidR="00000000" w:rsidRPr="00000000">
        <w:rPr>
          <w:rFonts w:ascii="Times New Roman" w:cs="Times New Roman" w:eastAsia="Times New Roman" w:hAnsi="Times New Roman"/>
          <w:b w:val="1"/>
          <w:rtl w:val="0"/>
        </w:rPr>
        <w:t xml:space="preserve">CEIm</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C">
      <w:pPr>
        <w:pStyle w:val="Heading1"/>
        <w:tabs>
          <w:tab w:val="left" w:leader="none" w:pos="1874"/>
        </w:tabs>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SEGUNDA</w:t>
      </w:r>
      <w:r w:rsidDel="00000000" w:rsidR="00000000" w:rsidRPr="00000000">
        <w:rPr>
          <w:rFonts w:ascii="Times New Roman" w:cs="Times New Roman" w:eastAsia="Times New Roman" w:hAnsi="Times New Roman"/>
          <w:rtl w:val="0"/>
        </w:rPr>
        <w:t xml:space="preserve">.- INICIO Y DURACIÓN</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982"/>
        </w:tabs>
        <w:spacing w:after="0" w:before="101" w:line="276"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presente Contrato entrará en vigor el día de su firma y estará vigente hasta la finalización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ello sin perjuicio de lo establecido en la Cláusula Novena. A estos efectos, no se entenderá finalizado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hasta que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hayan cumplido todas sus obligaciones derivadas del presente Contrato.</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42"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se iniciará bajo ningún concepto hasta que se haya emitido el dictamen favorable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correspondiente y la preceptiva autorización de la Agencia Española de Medicamentos y Productos Sanitarios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AEMPS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los términos del Real Decreto 1090/2015, y de cualquier otra autorización que, en su caso, fuera requerida por la legislación aplicable. La eficacia del presente contrato, queda supeditada a la obtención de las referidas autorizaciones.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4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42"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7" w:type="default"/>
          <w:headerReference r:id="rId8" w:type="first"/>
          <w:pgSz w:h="16840" w:w="11910" w:orient="portrait"/>
          <w:pgMar w:bottom="1240" w:top="1480" w:left="1440" w:right="1440" w:header="317" w:footer="1017"/>
          <w:pgNumType w:start="1"/>
          <w:titlePg w:val="1"/>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duración prevista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es de        meses, según lo establecido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PROTOCOLO.</w:t>
      </w:r>
      <w:r w:rsidDel="00000000" w:rsidR="00000000" w:rsidRPr="00000000">
        <w:rPr>
          <w:rtl w:val="0"/>
        </w:rPr>
      </w:r>
    </w:p>
    <w:p w:rsidR="00000000" w:rsidDel="00000000" w:rsidP="00000000" w:rsidRDefault="00000000" w:rsidRPr="00000000" w14:paraId="00000033">
      <w:pPr>
        <w:tabs>
          <w:tab w:val="left" w:leader="none" w:pos="981"/>
          <w:tab w:val="left" w:leader="none" w:pos="982"/>
          <w:tab w:val="left" w:leader="none" w:pos="6660"/>
        </w:tabs>
        <w:spacing w:before="101"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4">
      <w:pPr>
        <w:pStyle w:val="Heading1"/>
        <w:tabs>
          <w:tab w:val="left" w:leader="none" w:pos="1943"/>
        </w:tabs>
        <w:spacing w:before="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TERCERA</w:t>
      </w:r>
      <w:r w:rsidDel="00000000" w:rsidR="00000000" w:rsidRPr="00000000">
        <w:rPr>
          <w:rFonts w:ascii="Times New Roman" w:cs="Times New Roman" w:eastAsia="Times New Roman" w:hAnsi="Times New Roman"/>
          <w:rtl w:val="0"/>
        </w:rPr>
        <w:t xml:space="preserve">.- NORMATIVA APLICABLE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81"/>
          <w:tab w:val="left" w:leader="none" w:pos="982"/>
        </w:tabs>
        <w:spacing w:after="0" w:before="0" w:line="240" w:lineRule="auto"/>
        <w:ind w:left="981"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Legislación sobre ensayos clínicos: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67" w:right="0" w:firstLine="1351"/>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continuous"/>
          <w:pgSz w:h="16840" w:w="11910" w:orient="portrait"/>
          <w:pgMar w:bottom="1200" w:top="1480" w:left="1440" w:right="1440" w:header="720" w:footer="720"/>
          <w:cols w:equalWidth="0" w:num="2">
            <w:col w:space="2" w:w="4514"/>
            <w:col w:space="0" w:w="4514"/>
          </w:cols>
        </w:sect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1756" w:right="255" w:hanging="74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10/2013, de 24 de julio, por la que se incorporan al ordenamiento jurídico español las Directivas 2010/84/UE del Parlamento Europeo y del Consejo, de 15 de diciembre de 2010, sobre farmacovigilancia, y 2011/62/UE del parlamento Europeo y del Consejo, de 8 de junio de 2011, sobre prevención de la entrada de medicamentos falsificados en la cadena de suministro legal, y se modifica la Ley 29/2006, de 26 de julio, de garantías y uso racional de los medicamentos y productos sanitarios . Real Decreto Legislativo 01/2015, de 24 de julio, por el que se aprueba el texto refundido de la Ley de garantías y uso racional de los medicamentos y productos sanitarios. Real Decreto 1090/2015 de 4 de diciembre, por el que se regulan los ensayos clínicos con medicamentos, los Comités de Ética de la Investigación con Medicamentos y el Registro Español de Estudios Clínicos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1090/2015).</w:t>
      </w:r>
    </w:p>
    <w:p w:rsidR="00000000" w:rsidDel="00000000" w:rsidP="00000000" w:rsidRDefault="00000000" w:rsidRPr="00000000" w14:paraId="0000003A">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1756" w:right="255" w:hanging="74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1015/2009, de 19 de junio, por el que se regula la disponibilidad de medicamentos en situaciones especiales.</w:t>
      </w:r>
    </w:p>
    <w:p w:rsidR="00000000" w:rsidDel="00000000" w:rsidP="00000000" w:rsidRDefault="00000000" w:rsidRPr="00000000" w14:paraId="0000003B">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1756" w:right="255" w:hanging="74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Decreto 39/1994, de 28 de abril, por el que se regulan las competencias de la Comunidad de Madrid en materia de ensayos clínicos con medicamentos.</w:t>
      </w:r>
    </w:p>
    <w:p w:rsidR="00000000" w:rsidDel="00000000" w:rsidP="00000000" w:rsidRDefault="00000000" w:rsidRPr="00000000" w14:paraId="0000003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la Ley Orgánica 3/2018, de 5 de diciembre, de Protección de Datos Personales y garantía de los derechos digitales, así como el resto de la normativa vigente en materia de protección de datos de carácter personal que pudiera resultar de aplicación.</w:t>
      </w:r>
    </w:p>
    <w:p w:rsidR="00000000" w:rsidDel="00000000" w:rsidP="00000000" w:rsidRDefault="00000000" w:rsidRPr="00000000" w14:paraId="0000003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41/2002, de 14 de noviembre, básica reguladora de la autonomía del paciente y de derechos y obligaciones en materia de información y documentación clínica.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14/2007, de 3 de julio, de investigación biomédica y Real Decreto 1716/2011, de 18 de noviembre, por el que se establecen los requisitos básicos de autorización y funcionamiento de los biobancos con fines de investigación biomédica y del tratamiento de las muestras biológicas de origen humano, y se regula el funcionamiento y organización del Registro Nacional de Biobancos para investigación biomédica, para las muestras biológicas de origen humano, y del tratamiento de las muestras biológicas de origen humano, que hayan sido obtenidas como consecuencia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directa o indirectamente y especialmente siempre que se vayan a utilizar con fines de investigación biomédica una vez finalizado el ensayo.</w:t>
      </w:r>
    </w:p>
    <w:p w:rsidR="00000000" w:rsidDel="00000000" w:rsidP="00000000" w:rsidRDefault="00000000" w:rsidRPr="00000000" w14:paraId="0000004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1/1998, de 2 de marzo, de Fundaciones de la Comunidad de Madrid. De acuerdo con el artículo 23, los patronos podrán contratar con la Fundación, ya sea en nombre propio o de un tercero, previa autorización del Protectorado de Fundaciones.</w:t>
      </w:r>
    </w:p>
    <w:p w:rsidR="00000000" w:rsidDel="00000000" w:rsidP="00000000" w:rsidRDefault="00000000" w:rsidRPr="00000000" w14:paraId="0000004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53/1984, de 26 de diciembre, de incompatibilidades del personal al servicio de las Administraciones Públicas y Real Decreto 598/1985, de 30 de abril, sobre incompatibilidades del personal al servicio de la Administración del Estado, de la Seguridad Social y de los Entes, Organismos y Empresas dependientes.</w:t>
      </w:r>
    </w:p>
    <w:p w:rsidR="00000000" w:rsidDel="00000000" w:rsidP="00000000" w:rsidRDefault="00000000" w:rsidRPr="00000000" w14:paraId="0000004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normas ICH (International Conference of Harmonization Guideline) para la Buena Práctica Clínica (BPC): GCP E6(R2).</w:t>
      </w:r>
    </w:p>
    <w:p w:rsidR="00000000" w:rsidDel="00000000" w:rsidP="00000000" w:rsidRDefault="00000000" w:rsidRPr="00000000" w14:paraId="0000004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Principios éticos básicos establecidos en las recomendaciones internacionalmente aceptadas, incluida la Declaración de Helsinki en su versión actualizada.</w:t>
      </w:r>
    </w:p>
    <w:p w:rsidR="00000000" w:rsidDel="00000000" w:rsidP="00000000" w:rsidRDefault="00000000" w:rsidRPr="00000000" w14:paraId="0000004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normas deontológicas y la legislación anticorrupción nacional e internacional, contenida en la Convención de la OCDE, adoptada el 21 de noviembre de 1997, también recogida en la Ley de Prácticas Corruptas en el Extranjero (FCPA), que pueda ser aplicable a una o a todas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este contrato.</w:t>
      </w:r>
    </w:p>
    <w:p w:rsidR="00000000" w:rsidDel="00000000" w:rsidP="00000000" w:rsidRDefault="00000000" w:rsidRPr="00000000" w14:paraId="0000004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Sin perjuicio de lo expuesto,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comprometen en todo momento a respetar y cumplir la legislación aplicable a la firma de este Contrato y durante su vigencia. Si en el desarrollo del mismo se modificara la normativa pertinente, se entenderá automáticamente aplicada al citado Contrato, salvo que la correspondiente norma establezca un régimen transitorio de aplicación distinto.</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pStyle w:val="Heading1"/>
        <w:tabs>
          <w:tab w:val="left" w:leader="none" w:pos="1943"/>
        </w:tabs>
        <w:spacing w:before="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CUARTA</w:t>
      </w:r>
      <w:r w:rsidDel="00000000" w:rsidR="00000000" w:rsidRPr="00000000">
        <w:rPr>
          <w:rFonts w:ascii="Times New Roman" w:cs="Times New Roman" w:eastAsia="Times New Roman" w:hAnsi="Times New Roman"/>
          <w:rtl w:val="0"/>
        </w:rPr>
        <w:t xml:space="preserve">.- OBLIGACIONES DE LAS PARTES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1"/>
        </w:tabs>
        <w:spacing w:after="0" w:before="101" w:line="276" w:lineRule="auto"/>
        <w:ind w:left="1010" w:right="260" w:hanging="74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vienen obligadas a la completa ejecución de las prestaciones previstas en el presente Contrato, de conformidad con lo recogido en el mismo y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0"/>
          <w:tab w:val="left" w:leader="none" w:pos="1011"/>
        </w:tabs>
        <w:spacing w:after="0" w:before="0" w:line="240" w:lineRule="auto"/>
        <w:ind w:left="1010" w:right="0" w:hanging="74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Además, son obligaciones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757"/>
        </w:tabs>
        <w:spacing w:after="0" w:before="0" w:line="276" w:lineRule="auto"/>
        <w:ind w:left="1756" w:right="254"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Colaborar en las visitas de seguimiento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 se realicen por parte de: (1)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 los monitores y auditores que actúen a instancias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(3) las autoridades competentes, cuando realicen actuaciones de inspección. Estas visitas, excepto las de inspección, serán comunicadas con una antelación mínima de una semana, salvo que exista acuerdo de otro plazo entre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Durante la realización de dichas visitas de seguimiento, monitorización y auditorias, se adoptarán las medidas de índole técnico u organizativo que garanticen el máximo respeto de la normativa sobre protección de datos de carácter personal.</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1756"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Observar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los monitores y auditores las normas de régimen interno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de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 serán facilitadas por estas entidades, así como las indicaciones que sobre el desarrollo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realice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responsable de su seguimiento.</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757"/>
        </w:tabs>
        <w:spacing w:after="0" w:before="0" w:line="276" w:lineRule="auto"/>
        <w:ind w:left="1756" w:right="254"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podrán pactar entre ellas ni con terceros ajenos al presente documento, con relación a la realización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acuerdos o términos ajenos a este que dificulten, maticen, excepcionen, contravengan o impidan el cumplimiento de las respectivas obligaciones asumidas o que supongan la asunción de otras contrarias a la normativa aplicable. A estos efectos, cada una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manifiesta que a fecha de este Contrato no son parte en ningún acuerdo o pacto que contemple alguno de los acuerdos o términos referidos anteriormente. En particular, en virtud de esta Cláusula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aceptan que no podrá acordarse ni pagarse contraprestaciones de cualquier tipo distintas de las previstas en este Contrato. Se excluyen de esta prohibición los gastos para reuniones celebradas con la finalidad de organizar y supervisar la realización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así como para analizar o dar a conocer los resultados del mismo (presentaciones o publicaciones científicas).</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1"/>
        </w:tabs>
        <w:spacing w:after="0" w:before="1" w:line="276" w:lineRule="auto"/>
        <w:ind w:left="1010" w:right="254" w:hanging="74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Son obligaciones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además de las previstas en la normativa aplicable, el dar continuo apoyo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proporcionar a este y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cualquier nueva información de relevancia que se suscite sobre el medicamento en investigación.</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1"/>
        </w:tabs>
        <w:spacing w:after="0" w:before="0" w:line="276" w:lineRule="auto"/>
        <w:ind w:left="1010" w:right="255" w:hanging="74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 obligación de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gestión económica del presente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recibiendo esta los pagos realizados por cuenta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(elegir según proceda) y distribuyéndolos de conformidad con lo previsto en el Anexo I.</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1"/>
        </w:tabs>
        <w:spacing w:after="0" w:before="1" w:line="276" w:lineRule="auto"/>
        <w:ind w:left="1010" w:right="255" w:hanging="74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compromete a custodiar los códigos de identificación de los sujetos incluidos.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y el HOSPITAL, en función de sus responsabilidades,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comprometen a conservar los documentos esenciales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durante el tiempo y en las condiciones establecidas en la legislación vigente.</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1"/>
        </w:tabs>
        <w:spacing w:after="0" w:before="1" w:line="276" w:lineRule="auto"/>
        <w:ind w:left="1010" w:right="25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1"/>
        </w:tabs>
        <w:spacing w:after="0" w:before="1" w:line="276" w:lineRule="auto"/>
        <w:ind w:left="1010" w:right="255" w:hanging="74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Corresponde igualmente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selección de los miembros del equipo investigador y del personal de apoyo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que podrá estar formado tanto por personas físicas como por entidades mercantiles o de otra índole, que cuenten con medios materiales y humanos apropiados para la ejecución del mismo. </w:t>
      </w:r>
      <w:r w:rsidDel="00000000" w:rsidR="00000000" w:rsidRPr="00000000">
        <w:rPr>
          <w:rFonts w:ascii="Times New Roman" w:cs="Times New Roman" w:eastAsia="Times New Roman" w:hAnsi="Times New Roman"/>
          <w:rtl w:val="0"/>
        </w:rPr>
        <w:t xml:space="preserve">Se adjunta Anexo II en el que se detalla la relación de integrantes del equipo investigador en el momento de la firma del presente contrato.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Cualquier variación en el equipo investigador deberá comunicarse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acuerdo con la normativa vigente.</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1"/>
        </w:tabs>
        <w:spacing w:after="0" w:before="1" w:line="276" w:lineRule="auto"/>
        <w:ind w:left="1010" w:right="25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pStyle w:val="Heading1"/>
        <w:tabs>
          <w:tab w:val="left" w:leader="none" w:pos="1943"/>
        </w:tabs>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QUINTA</w:t>
      </w:r>
      <w:r w:rsidDel="00000000" w:rsidR="00000000" w:rsidRPr="00000000">
        <w:rPr>
          <w:rFonts w:ascii="Times New Roman" w:cs="Times New Roman" w:eastAsia="Times New Roman" w:hAnsi="Times New Roman"/>
          <w:rtl w:val="0"/>
        </w:rPr>
        <w:t xml:space="preserve">.- ASPECTOS ECONÓMICOS</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2345"/>
          <w:tab w:val="left" w:leader="none" w:pos="2747"/>
          <w:tab w:val="left" w:leader="none" w:pos="4053"/>
          <w:tab w:val="left" w:leader="none" w:pos="4514"/>
          <w:tab w:val="left" w:leader="none" w:pos="6131"/>
          <w:tab w:val="left" w:leader="none" w:pos="6618"/>
          <w:tab w:val="left" w:leader="none" w:pos="8402"/>
          <w:tab w:val="left" w:leader="none" w:pos="8837"/>
        </w:tabs>
        <w:spacing w:after="0" w:before="101" w:line="276" w:lineRule="auto"/>
        <w:ind w:left="969" w:right="185" w:hanging="708"/>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importe de este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ha presupuestado inicialmente en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_____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EUROS   IVA   no incluido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Presupuesto de 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conforme a lo establecido en la Memoria Económica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(Anexo I), en la que se especifican todos los aspectos económicos del mismo. Dicha cantidad no incluye en ningún caso una obligación o inducción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la 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para recomendar, prescribir, comprar, usar o concertar el uso de ningún producto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spacing w:line="276" w:lineRule="auto"/>
        <w:ind w:left="969" w:right="253"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Adicionalmente, a la firma del presente contrato el </w:t>
      </w:r>
      <w:r w:rsidDel="00000000" w:rsidR="00000000" w:rsidRPr="00000000">
        <w:rPr>
          <w:rFonts w:ascii="Times New Roman" w:cs="Times New Roman" w:eastAsia="Times New Roman" w:hAnsi="Times New Roman"/>
          <w:b w:val="1"/>
          <w:rtl w:val="0"/>
        </w:rPr>
        <w:t xml:space="preserve">PROMOTOR </w:t>
      </w:r>
      <w:r w:rsidDel="00000000" w:rsidR="00000000" w:rsidRPr="00000000">
        <w:rPr>
          <w:rFonts w:ascii="Times New Roman" w:cs="Times New Roman" w:eastAsia="Times New Roman" w:hAnsi="Times New Roman"/>
          <w:rtl w:val="0"/>
        </w:rPr>
        <w:t xml:space="preserve">abonará la cantidad de 1.500 € euros (IVA no incluido), en pago único, no reembolsable, en concepto de gastos de gestión administrativa y contractual. </w:t>
      </w: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969" w:right="254" w:hanging="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importe que deba abonar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(elegir según proceda) durante la ejecución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será determinado por aplicación del Anexo I y deberá satisfacerse a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los pagos que se detallan a continuación:</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4" w:hanging="75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presupuesto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abonará, al menos, semestralmente conforme a lo que se detalla en el cuadro de importes por visita y sujeto reclutado incluido en el Anexo I, hasta el pago íntegro del importe que constituye tal Presupuesto. A los citados efectos,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(elegir según proceda) y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mantendrán informada a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semestralmente.</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678"/>
        </w:tabs>
        <w:spacing w:after="0" w:before="1" w:line="276" w:lineRule="auto"/>
        <w:ind w:left="1680" w:right="257" w:hanging="75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Estos pagos tienen la consideración de abonos a cuenta, dependientes de la liquidación del importe definitivo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969" w:right="255" w:hanging="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importe definitivo que deba abonar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(elegir según proceda) por la ejecución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será determinado por razón de la actividad efectivamente realizada para la ejecución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Importe Definitivo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 Importe Definitivo  se calculará de la forma siguiente:</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969" w:right="25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1680" w:right="255" w:hanging="75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el plazo máximo de (3) tres meses, a contar desde la terminación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(elegir según proceda) y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comunicarán por escrito a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número total de: (1) sujetos reclutados y evaluados, (2) visitas efectivamente realizadas, (3) incidencias producidas, así como (4) de cualquier prueba, análisis, exploración, consulta o estancia hospitalaria de carácter extraordinario que se haya producido, estén o no reflejadas en la Memoria Económica (Anexo I).</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1680"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5" w:hanging="75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la mayor brevedad, desde que haya tenido lugar la comunicación de la información a que se refiere el punto anterior,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calculará, emitirá y notificará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(elegir según proceda), mediante facturación final del ensayo, la liquidación del importe definitivo, así como en su caso, reclamará las cantidades pendientes de pago, que deberán ser abonadas en el plazo de un (1) mes, sin necesidad de ulterior requerimiento. Con la liquidación del pago final se entenderán concluidas las obligaciones económicas por parte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970"/>
        </w:tabs>
        <w:spacing w:after="0" w:before="10" w:line="276" w:lineRule="auto"/>
        <w:ind w:left="969" w:right="249" w:hanging="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Todos los pagos deberán efectuarse contra presentación de factura, a la que se le aplicará el IVA de acuerdo con la normativa aplicable en la fecha de emisión de la misma y a nombre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66"/>
        </w:tabs>
        <w:spacing w:after="0" w:before="1" w:line="240" w:lineRule="auto"/>
        <w:ind w:left="96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facturas serán emitidas a: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44"/>
        </w:tabs>
        <w:spacing w:after="0" w:before="0" w:line="276" w:lineRule="auto"/>
        <w:ind w:left="969" w:right="2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facturas emitidas serán abonadas por la siguiente pagadora, cuyos datos serán: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969" w:right="25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(NOTA: Si es necesario incluir un número de pedido u orden de compra en las facturas, es preciso indicarlo, así como el procedimiento para ser solicitado por la Fundación).</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facturas serán enviadas para su gestión a la siguiente dirección:</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101" w:line="276" w:lineRule="auto"/>
        <w:ind w:left="969" w:right="263" w:hanging="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Los pagos a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 realizarán por transferencia bancaria, con los gastos a cargo del ordenante, a:</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969" w:right="255" w:firstLine="0"/>
        <w:jc w:val="center"/>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Fundación para la Investigación Biomédica del Hospital Universitario Puerta de Hierro Majadahonda</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969" w:right="255" w:firstLine="0"/>
        <w:jc w:val="center"/>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Entidad Bancaria: CAIXABANK</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center"/>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Nº Cuenta: 2100 4065 18 2200092256</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center"/>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IBAN: ES81 2100 4065 1822 0009 2256</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center"/>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SWIFT: CAIXESBBXXX</w:t>
      </w:r>
    </w:p>
    <w:p w:rsidR="00000000" w:rsidDel="00000000" w:rsidP="00000000" w:rsidRDefault="00000000" w:rsidRPr="00000000" w14:paraId="0000007D">
      <w:pPr>
        <w:spacing w:after="240" w:before="240" w:lineRule="auto"/>
        <w:ind w:left="880" w:firstLine="0"/>
        <w:jc w:val="center"/>
        <w:rPr>
          <w:rFonts w:ascii="Times New Roman" w:cs="Times New Roman" w:eastAsia="Times New Roman" w:hAnsi="Times New Roman"/>
          <w:b w:val="1"/>
          <w:i w:val="1"/>
          <w:color w:val="0563c1"/>
        </w:rPr>
      </w:pPr>
      <w:r w:rsidDel="00000000" w:rsidR="00000000" w:rsidRPr="00000000">
        <w:rPr>
          <w:rFonts w:ascii="Times New Roman" w:cs="Times New Roman" w:eastAsia="Times New Roman" w:hAnsi="Times New Roman"/>
          <w:b w:val="1"/>
          <w:i w:val="1"/>
          <w:rtl w:val="0"/>
        </w:rPr>
        <w:t xml:space="preserve">Las solicitudes de facturación del Promotor a la Fundación se enviarán a la dirección de correo electrónico: </w:t>
      </w:r>
      <w:r w:rsidDel="00000000" w:rsidR="00000000" w:rsidRPr="00000000">
        <w:rPr>
          <w:rFonts w:ascii="Times New Roman" w:cs="Times New Roman" w:eastAsia="Times New Roman" w:hAnsi="Times New Roman"/>
          <w:b w:val="1"/>
          <w:i w:val="1"/>
          <w:color w:val="0563c1"/>
          <w:rtl w:val="0"/>
        </w:rPr>
        <w:t xml:space="preserve">facturas.eecc@idiphim.org</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center"/>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07F">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969" w:right="254" w:hanging="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Los pagos realizados por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(elegir según proceda) a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serán plenamente liberatorios para el primero, siendo responsabilidad de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pago de las cantidades que, en su caso, correspondan a los investigadores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970"/>
        </w:tabs>
        <w:spacing w:after="0" w:before="1" w:line="276" w:lineRule="auto"/>
        <w:ind w:left="969" w:right="257" w:hanging="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acuerdan que, si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carece del equipo necesario para realizar adecuadamente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 facilitará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manera gratuita cediendo su uso, directamente o a través de un tercero. Asimismo,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asumirá el coste y se encargará del suministro, instalación, mantenimiento, calibración y retirada del equipo, y de la formación del personal para su manejo, si fuera necesaria. En ningún caso serán responsables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ni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su mantenimiento, ni de su eventual pérdida.</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6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equipo constará de los siguientes componentes:</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609600</wp:posOffset>
                </wp:positionH>
                <wp:positionV relativeFrom="paragraph">
                  <wp:posOffset>165100</wp:posOffset>
                </wp:positionV>
                <wp:extent cx="0" cy="12700"/>
                <wp:effectExtent b="0" l="0" r="0" t="0"/>
                <wp:wrapTopAndBottom distB="0" distT="0"/>
                <wp:docPr id="46" name=""/>
                <a:graphic>
                  <a:graphicData uri="http://schemas.microsoft.com/office/word/2010/wordprocessingShape">
                    <wps:wsp>
                      <wps:cNvCnPr/>
                      <wps:spPr>
                        <a:xfrm>
                          <a:off x="5169470" y="3780000"/>
                          <a:ext cx="35306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609600</wp:posOffset>
                </wp:positionH>
                <wp:positionV relativeFrom="paragraph">
                  <wp:posOffset>165100</wp:posOffset>
                </wp:positionV>
                <wp:extent cx="0" cy="12700"/>
                <wp:effectExtent b="0" l="0" r="0" t="0"/>
                <wp:wrapTopAndBottom distB="0" distT="0"/>
                <wp:docPr id="46"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969" w:right="254"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Equipo será siempre propiedad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de un tercero y llevará la identificación correspondiente en dicho sentido. El Equipo sólo deberá utilizarse para realizar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 al finalizar éste será devuelto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a un tercero sin coste alguno para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ni la </w:t>
      </w:r>
      <w:r w:rsidDel="00000000" w:rsidR="00000000" w:rsidRPr="00000000">
        <w:rPr>
          <w:rFonts w:ascii="Times New Roman" w:cs="Times New Roman" w:eastAsia="Times New Roman" w:hAnsi="Times New Roman"/>
          <w:b w:val="1"/>
          <w:rtl w:val="0"/>
        </w:rPr>
        <w:t xml:space="preserve">FUNDACIÓN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Cuando reciba una petición de devolución,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pondrá el Equipo a disposición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del tercero designado por éste para su recogida.</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la finalización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podrá ceder el Equipo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a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 carácter gratuito, a cuyo efecto se formalizarán los documentos que fueran necesarios.</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el caso de que se detectaran necesidades adicionales de equipamiento durante la realización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con posterioridad a la firma del presente contrato,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deberán firmar una adenda que recoja el equipamiento puesto a disposición respetando las condiciones y términos indicados en los párrafos anteriores.</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pStyle w:val="Heading1"/>
        <w:tabs>
          <w:tab w:val="left" w:leader="none" w:pos="1466"/>
        </w:tabs>
        <w:spacing w:before="9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SEXTA</w:t>
      </w:r>
      <w:r w:rsidDel="00000000" w:rsidR="00000000" w:rsidRPr="00000000">
        <w:rPr>
          <w:rFonts w:ascii="Times New Roman" w:cs="Times New Roman" w:eastAsia="Times New Roman" w:hAnsi="Times New Roman"/>
          <w:rtl w:val="0"/>
        </w:rPr>
        <w:t xml:space="preserve">.-</w:t>
        <w:tab/>
        <w:t xml:space="preserve">SEGURO Y RESPONSABILIDADES</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261" w:right="254"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tiene suscrita una póliza de seguro de responsabilidad civil que cumple en todos sus aspectos lo establecido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Dicha póliza, nº</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 ha sido concertada con la entidad aseguradora</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está vigente al estar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 corriente de pago de las primas. Dicha póliza incluye también en su ámbito de cobertura, y así lo explicita,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sus colaboradores y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a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adjunta copia de la póliza o certificado de la misma como ANEXO I</w:t>
      </w:r>
      <w:r w:rsidDel="00000000" w:rsidR="00000000" w:rsidRPr="00000000">
        <w:rPr>
          <w:rFonts w:ascii="Times New Roman" w:cs="Times New Roman" w:eastAsia="Times New Roman" w:hAnsi="Times New Roman"/>
          <w:rtl w:val="0"/>
        </w:rPr>
        <w:t xml:space="preserve">II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pStyle w:val="Heading1"/>
        <w:spacing w:before="1" w:line="278.00000000000006" w:lineRule="auto"/>
        <w:ind w:right="251" w:firstLine="26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SÉPTIMA</w:t>
      </w:r>
      <w:r w:rsidDel="00000000" w:rsidR="00000000" w:rsidRPr="00000000">
        <w:rPr>
          <w:rFonts w:ascii="Times New Roman" w:cs="Times New Roman" w:eastAsia="Times New Roman" w:hAnsi="Times New Roman"/>
          <w:rtl w:val="0"/>
        </w:rPr>
        <w:t xml:space="preserve">.- GARANTÍAS  DE  CONFIDENCIALIDAD  Y  PROTECCIÓN DE DATOS DE CARÁCTER PERSONAL.</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4"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CONFIDENCIALIDAD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comprometen a poner todos los medios a su alcance para garantizar la confidencialidad de la información facilitada para la realización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obtenida durante su realización, así como la de los datos de carácter personal de los sujetos reclutados para el mismo, a fin de cumplir con todos los requisitos establecidos en la normativa vigente. Se exceptuará de este compromiso de confidencialidad aquella información que: (i) sea de dominio público, (ii) fuera conocida previamente por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el momento de ser revelada, o (iii) fuera obligatorio revelar por imperativo legal.</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4"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rtl w:val="0"/>
        </w:rPr>
        <w:t xml:space="preserve">PROTECCIÓN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DE DATOS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Todas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la medida en que traten datos de carácter personal de los sujetos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deberán tomar las medidas oportunas para protegerlos y evitar el acceso a los mismos por parte de terceros no autorizados.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quedan obligadas a la más estricta observancia de lo establecido en el Reglamento (UE) 2016/679 del Parlamento Europeo y del Consejo, de 27 de abril de 2016 y la Ley Orgánica 3/2018, de 5 de diciembre, de Protección de Datos Personales y garantía de los derechos digitales. Asimismo, dicha legislación será aplicable a los datos personales contenidos en el presente contrato. Si fuera preciso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formalizarán los acuerdos necesarios para garantizar el cumplimiento de dichas obligaciones legales.</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ind w:left="981"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El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el </w:t>
      </w:r>
      <w:r w:rsidDel="00000000" w:rsidR="00000000" w:rsidRPr="00000000">
        <w:rPr>
          <w:rFonts w:ascii="Times New Roman" w:cs="Times New Roman" w:eastAsia="Times New Roman" w:hAnsi="Times New Roman"/>
          <w:b w:val="1"/>
          <w:rtl w:val="0"/>
        </w:rPr>
        <w:t xml:space="preserve">INVESTIGADOR  PRINCIPAL  </w:t>
      </w:r>
      <w:r w:rsidDel="00000000" w:rsidR="00000000" w:rsidRPr="00000000">
        <w:rPr>
          <w:rFonts w:ascii="Times New Roman" w:cs="Times New Roman" w:eastAsia="Times New Roman" w:hAnsi="Times New Roman"/>
          <w:rtl w:val="0"/>
        </w:rPr>
        <w:t xml:space="preserve">y  la  </w:t>
      </w:r>
      <w:r w:rsidDel="00000000" w:rsidR="00000000" w:rsidRPr="00000000">
        <w:rPr>
          <w:rFonts w:ascii="Times New Roman" w:cs="Times New Roman" w:eastAsia="Times New Roman" w:hAnsi="Times New Roman"/>
          <w:b w:val="1"/>
          <w:rtl w:val="0"/>
        </w:rPr>
        <w:t xml:space="preserve">FUNDACIÓN</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981"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tratarán adecuadamente los datos personales de los sujetos que participen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forma que no puedan ser identificados por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 procede). Únicamente accederán a datos personales de los sujetos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los que estos estén identificados, en la medida que lo permita el consentimiento informado  y  en  el  ejercicio  de  sus  funciones  profesionales,  los monitores y/o representantes designados por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(si procede), auditores y autoridades competentes.</w:t>
      </w:r>
    </w:p>
    <w:p w:rsidR="00000000" w:rsidDel="00000000" w:rsidP="00000000" w:rsidRDefault="00000000" w:rsidRPr="00000000" w14:paraId="0000009B">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29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firmantes del presente contrato, se obligan mutuamente a:</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1678"/>
        </w:tabs>
        <w:spacing w:after="0" w:before="0" w:line="273" w:lineRule="auto"/>
        <w:ind w:left="1680" w:right="255"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Acceder a los datos de carácter personal únicamente cuando sea imprescindible para el buen desarrollo del proyecto</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678"/>
        </w:tabs>
        <w:spacing w:after="0" w:before="0" w:line="273" w:lineRule="auto"/>
        <w:ind w:left="1680" w:right="254"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Tratar los datos con la única finalidad de dar cumplimiento al objeto del contrato</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5"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 cualquiera de las partes considera que otra infringe el RGPD, la LOPDGDD, o cualquier otra disposición en materia de protección de datos de la Unión o de los estados miembros, informará inmediatamente a las otras, con el fin de proceder a su rápida subsanación.</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4"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Asumir la responsabilidad que corresponda en caso de que destine los datos otra finalidad distinta del cumplimiento del objeto del presente contrato, los comunique o los utilice incumpliendo las estipulaciones de la normativa vigente, respondiendo de las infracciones en que hubiera incurrido personalmente.</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0" w:line="273" w:lineRule="auto"/>
        <w:ind w:left="1680" w:right="258"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permitir el acceso a los datos de carácter personal a ningún empleado de su responsabilidad que no tenga la necesidad de conocerlos para la prestación de los servicios.</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4"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revelar, transferir, ceder o de otra forma comunicar los datos de carácter personal, ya sea verbalmente o por escrito, por medios electrónicos, papel o mediante acceso informático, ni siquiera para su conservación, a ningún tercero, salvo que exista autorización o instrucción previa para ello.</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0" w:line="273" w:lineRule="auto"/>
        <w:ind w:left="1680" w:right="258"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Mantendrá un registro de todas las categorías de actividades  de tratamiento efectuadas en cumplimiento del presente contrato, que contenga la información exigida por el artículo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30.2 del RGPD y 31 de la LOPDGDD.</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1" w:line="273" w:lineRule="auto"/>
        <w:ind w:left="1680" w:right="258"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Garantizar la formación necesaria en materia de protección de datos personales de las personas autorizadas para tratar datos personales.</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0" w:line="273" w:lineRule="auto"/>
        <w:ind w:left="1680" w:right="255"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type w:val="continuous"/>
          <w:pgSz w:h="16840" w:w="11910" w:orient="portrait"/>
          <w:pgMar w:bottom="1240" w:top="1480" w:left="1440" w:right="1440" w:header="317" w:footer="1017"/>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Darse apoyo mutuamente en la realización de las evaluaciones de impacto relativas a la protección de datos, cuando proceda.</w:t>
      </w:r>
    </w:p>
    <w:p w:rsidR="00000000" w:rsidDel="00000000" w:rsidP="00000000" w:rsidRDefault="00000000" w:rsidRPr="00000000" w14:paraId="000000AF">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91" w:line="273" w:lineRule="auto"/>
        <w:ind w:left="1680" w:right="258"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Darse  apoyo  mutuamente  en  la  realización  de  las consultas previas a la Autoridad de Control, cuando proceda.</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2"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Poner a disposición de la otra parte toda la información necesaria para demostrar el cumplimiento de sus obligaciones, así como para la realización de las auditorías o las inspecciones que realice la otra parte con la finalidad de verificar el correcto cumplimiento del presente contrato.</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1" w:line="276" w:lineRule="auto"/>
        <w:ind w:left="1680" w:right="251"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Adoptar y aplicar las medidas de seguridad estipuladas en el presente contrato, conforme lo previsto en el artículo 32 del RGPD, que garanticen la seguridad de los datos de carácter personal y eviten su alteración, pérdida, tratamiento o acceso no autorizado, habida cuenta del estado de la tecnología, la naturaleza de los datos almacenados y los riesgos a que estén expuestos, ya provengan de la acción humana o del medio físico o natural.</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8"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Designar un delegado de protección de datos y comunicar su identidad y datos de contacto a la otra parte, así como cumplir con todo lo dispuesto en los artículos 37, 38 y 39 del RGPD, y 35 a 37 de la LOPDGDD.</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6"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caso de que cualquiera de las partes deba transferir o permitir acceso a datos personales responsabilidad de la otra a un tercero en virtud del Derecho de la Unión o de los Estados miembros que le sea aplicable, informará a la otra de esa exigencia legal de manera previa, salvo que estuviese prohibido por razones de interés público.</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5"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caso de que el tratamiento incluya la recogida de datos personales, se establecerán los procedimientos correspondientes a la recogida de los datos, especialmente en lo relativo a la identificación fehaciente de usuarios, al deber de información y, en su caso, la obtención del consentimiento de los afectados, garantizando que estas instrucciones cumplen con todas las prescripciones legales y reglamentarias que  exige la normativa vigente  en  materia  de protección de datos.</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1" w:line="273" w:lineRule="auto"/>
        <w:ind w:left="1680" w:right="256"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Supervisar el tratamiento y el cumplimiento de la normativa de protección de datos por la otra parte.</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0" w:right="263"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MEDIDAS DE SEGURIDAD Y VIOLACIONES DE SEGURIDAD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0" w:right="26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Teniendo en cuenta el estado de la técnica, los costes de aplicación, y la naturaleza, el alcance, el contexto y los fines del tratamiento, así como riesgos de probabilidad y gravedad variables para los derechos y libertades de las personas físicas, las partes aplicarán las medidas técnicas y organizativas apropiadas para garantizar un nivel de seguridad adecuado al riesgo, que en su caso incluya, entre otros:</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0" w:right="26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2385"/>
          <w:tab w:val="left" w:leader="none" w:pos="2386"/>
        </w:tabs>
        <w:spacing w:after="0" w:before="0" w:line="240" w:lineRule="auto"/>
        <w:ind w:left="2385" w:right="0" w:hanging="708.000000000000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seudonimización y el cifrado de datos personales;</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2386"/>
        </w:tabs>
        <w:spacing w:after="0" w:before="0" w:line="276" w:lineRule="auto"/>
        <w:ind w:left="2385" w:right="256" w:hanging="708.000000000000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capacidad de garantizar la confidencialidad, integridad, disponibilidad y resiliencia permanentes de los sistemas y servicios de tratamiento, así como la disponibilidad y el acceso a los datos personales de forma rápida en caso de incidente físico o técnico.</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2386"/>
        </w:tabs>
        <w:spacing w:after="0" w:before="0" w:line="276" w:lineRule="auto"/>
        <w:ind w:left="2385" w:right="253" w:hanging="708.000000000000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proceso de verificación, evaluación y valoración regulares de la eficacia de las medidas técnicas y organizativas para garantizar la seguridad del tratamiento.</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2386"/>
        </w:tabs>
        <w:spacing w:after="0" w:before="0" w:line="278.00000000000006" w:lineRule="auto"/>
        <w:ind w:left="2385" w:right="258" w:hanging="708.000000000000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catálogo de medidas de seguridad reconocido en normativas o estándares de seguridad de la información.</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86"/>
        </w:tabs>
        <w:spacing w:after="0" w:before="0" w:line="278.00000000000006" w:lineRule="auto"/>
        <w:ind w:left="2385" w:right="25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 evaluar la adecuación del nivel de seguridad, las partes tendrán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 Las partes permitirán y contribuirán a la realización de auditorías, incluidas inspecciones, a la otra parte.</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96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Asimismo, en caso de modificación de la normativa vigente en materia de protección de datos o de otra normativa relacionada y que resultase aplicable al tratamiento objeto del presente contrato, las partes garantizan la implantación y mantenimiento de cualesquiera otras medidas de seguridad que le fueran exigibles, sin que ello suponga una modificación de los términos del presente contrato.</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96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969" w:right="257"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caso de violación de la seguridad de los datos personales en los sistemas de información utilizados por las partes para la prestación de los Servicios, deberán notificarse mutuamente, sin dilación indebida, y en cualquier caso antes del plazo máximo de 24 horas hábiles, las violaciones de la seguridad de los datos personales a su cargo de las que tengan conocimiento, juntamente con toda la información relevante para la documentación y comunicación de la incidencia conforme a lo dispuesto en el artículo 33.3 del RGPD.</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96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9"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tal caso, cada parte en la medida que le corresponda deberá comunicar las violaciones de seguridad de los datos a la Autoridad de Protección de Datos y/o a los interesados conforme a lo establecido en la normativa vigente.</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9"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11"/>
        </w:tabs>
        <w:spacing w:after="0" w:before="0" w:line="276" w:lineRule="auto"/>
        <w:ind w:left="969" w:right="254" w:hanging="708"/>
        <w:jc w:val="both"/>
        <w:rPr>
          <w:b w:val="1"/>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DERECHO DE INFORMACIÓN.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1"/>
        </w:tabs>
        <w:spacing w:after="0" w:before="0" w:line="276" w:lineRule="auto"/>
        <w:ind w:left="969" w:right="254"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Cada una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queda informada de que los datos de contacto de carácter profesional serán tratados por la otra parte con la finalidad de gestionar el presente Contrato, siendo la base del tratamiento la ejecución del mismo. Los datos se conservarán durante el tiempo en que subsista la relación contractual y hasta que prescriban las eventuales responsabilidades derivadas de ella. Además,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cederán los datos a terceros, salvo por obligación legal. Asimismo,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podrán ejercitar en cualquier momento su derecho de acceso, rectificación, limitación, supresión, oposición y portabilidad, respecto de sus datos de carácter personal, dirigiéndose a los delegados de protección de datos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647700</wp:posOffset>
                </wp:positionH>
                <wp:positionV relativeFrom="paragraph">
                  <wp:posOffset>139700</wp:posOffset>
                </wp:positionV>
                <wp:extent cx="0" cy="12700"/>
                <wp:effectExtent b="0" l="0" r="0" t="0"/>
                <wp:wrapTopAndBottom distB="0" distT="0"/>
                <wp:docPr id="49" name=""/>
                <a:graphic>
                  <a:graphicData uri="http://schemas.microsoft.com/office/word/2010/wordprocessingShape">
                    <wps:wsp>
                      <wps:cNvCnPr/>
                      <wps:spPr>
                        <a:xfrm>
                          <a:off x="5213285" y="3780000"/>
                          <a:ext cx="26543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647700</wp:posOffset>
                </wp:positionH>
                <wp:positionV relativeFrom="paragraph">
                  <wp:posOffset>139700</wp:posOffset>
                </wp:positionV>
                <wp:extent cx="0" cy="12700"/>
                <wp:effectExtent b="0" l="0" r="0" t="0"/>
                <wp:wrapTopAndBottom distB="0" distT="0"/>
                <wp:docPr id="49"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969" w:right="25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(Incluir datos de contacto de los delegados de protección de datos de todas las PARTES, incluido el INVESTIGADOR PRINCIPAL).</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podrán también presentar una reclamación ante la Agencia Española de Protección de Datos.</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 alguna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quisiera hacer una transferencia de Datos Personales de los firmantes fuera del Espacio Económico Europeo (EEE) o Suiza, se realizará solo cuando lo permita la legislación aplicable en el EEE, basándose en los mecanismos legales de transferencia y previa autorización del resto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afectadas.</w:t>
      </w:r>
    </w:p>
    <w:p w:rsidR="00000000" w:rsidDel="00000000" w:rsidP="00000000" w:rsidRDefault="00000000" w:rsidRPr="00000000" w14:paraId="000000D8">
      <w:pPr>
        <w:pStyle w:val="Heading1"/>
        <w:tabs>
          <w:tab w:val="left" w:leader="none" w:pos="1881"/>
        </w:tabs>
        <w:spacing w:before="19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OCTAVA</w:t>
      </w:r>
      <w:r w:rsidDel="00000000" w:rsidR="00000000" w:rsidRPr="00000000">
        <w:rPr>
          <w:rFonts w:ascii="Times New Roman" w:cs="Times New Roman" w:eastAsia="Times New Roman" w:hAnsi="Times New Roman"/>
          <w:rtl w:val="0"/>
        </w:rPr>
        <w:t xml:space="preserve">.- MEDICAMENTOS EN INVESTIGACIÓN</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82"/>
        </w:tabs>
        <w:spacing w:after="0" w:before="101"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suministrará gratuitamente los medicamentos en investigación, incluidos los de comparación y placebos, en los términos que se establecen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879"/>
        </w:tabs>
        <w:spacing w:after="0" w:before="1"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 medicamento en investigación será suministrado a través del Servicio de Farmacia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dispensándose de manera controlada y de conformidad con las directrices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se pondrá a disposición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ni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medicamento en investigación hasta que no se cuente con el informe favorable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la preceptiva autorización de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AEMPS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pStyle w:val="Heading1"/>
        <w:tabs>
          <w:tab w:val="left" w:leader="none" w:pos="1943"/>
          <w:tab w:val="left" w:leader="none" w:pos="8603"/>
        </w:tabs>
        <w:spacing w:before="91" w:line="276" w:lineRule="auto"/>
        <w:ind w:right="256"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NOVENA</w:t>
      </w:r>
      <w:r w:rsidDel="00000000" w:rsidR="00000000" w:rsidRPr="00000000">
        <w:rPr>
          <w:rFonts w:ascii="Times New Roman" w:cs="Times New Roman" w:eastAsia="Times New Roman" w:hAnsi="Times New Roman"/>
          <w:rtl w:val="0"/>
        </w:rPr>
        <w:t xml:space="preserve">.- MODIFICACIÓN,  CANCELACIÓN  O  SUSPENSIÓN Y  RESOLUCIÓN DEL CONTRATO.</w:t>
      </w:r>
    </w:p>
    <w:p w:rsidR="00000000" w:rsidDel="00000000" w:rsidP="00000000" w:rsidRDefault="00000000" w:rsidRPr="00000000" w14:paraId="000000E1">
      <w:pPr>
        <w:ind w:left="261"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MODIFICACIÓN</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7"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Cualquier modificación a lo previsto en este Contrato deberá realizarse por escrito y será firmada por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como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addendum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 mismo. En todo caso, en la modificación se observará lo previsto en el artículo 26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pStyle w:val="Heading1"/>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CANCELACIÓN O SUSPENSIÓN</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7"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podrá ser cancelado o suspendido por una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cualquiera de las situaciones previstas en el artículo 27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así como en los siguientes casos:</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731"/>
        </w:tabs>
        <w:spacing w:after="0" w:before="0" w:line="276" w:lineRule="auto"/>
        <w:ind w:left="1730" w:right="26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Por incumplimiento de las obligaciones esenciales asumidas por alguna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731"/>
        </w:tabs>
        <w:spacing w:after="0" w:before="0" w:line="276" w:lineRule="auto"/>
        <w:ind w:left="1730" w:right="252"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Por incumplimiento o cumplimiento defectuoso de las restantes obligaciones asumidas por otra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siempre que tal incumplimiento no sea subsanado en el plazo de quince (15) días a contar desde que la otra Parte le intime por escrito el cumplimiento.</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731"/>
        </w:tabs>
        <w:spacing w:after="0" w:before="0" w:line="276" w:lineRule="auto"/>
        <w:ind w:left="1730"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Por mutuo acuerdo entre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manifestado por  escrito.</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pStyle w:val="Heading1"/>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RESOLUCIÓN DEL CONTRATO</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7"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terminación o suspensión de la ejecución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permitirá la resolución del Contrato por la Parte que no haya incumplido sus obligaciones contractuales.</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7"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7"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la finalización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garantizarán la seguridad del sujeto a la finalización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así como la continuidad del tratamiento, por lo que seguirán proporcionando el tratamiento del ensayo a los sujetos en cumplimiento de lo previsto en el Real Decreto 1015/2009, de 19 de junio, por el que se regula la disponibilidad de medicamentos en situaciones especiales. Si existiera una solicitud por parte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 continuación de tratamiento,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convendrán el suministro teniendo en cuenta la viabilidad de producción y los datos de eficacia y seguridad del fármaco en investigación/ tratamiento del ensayo.</w:t>
      </w:r>
    </w:p>
    <w:p w:rsidR="00000000" w:rsidDel="00000000" w:rsidP="00000000" w:rsidRDefault="00000000" w:rsidRPr="00000000" w14:paraId="000000F4">
      <w:pPr>
        <w:pStyle w:val="Heading1"/>
        <w:tabs>
          <w:tab w:val="left" w:leader="none" w:pos="1943"/>
        </w:tabs>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DÉCIMA</w:t>
      </w:r>
      <w:r w:rsidDel="00000000" w:rsidR="00000000" w:rsidRPr="00000000">
        <w:rPr>
          <w:rFonts w:ascii="Times New Roman" w:cs="Times New Roman" w:eastAsia="Times New Roman" w:hAnsi="Times New Roman"/>
          <w:rtl w:val="0"/>
        </w:rPr>
        <w:t xml:space="preserve">.- RESULTADOS Y PUBLICACIONES</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82"/>
        </w:tabs>
        <w:spacing w:after="0" w:before="101"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totalidad de los datos, los resultados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así como todos los trabajos y derechos de propiedad industrial e intelectual derivados del mismo, son propiedad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quedando sujetas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lo establecido en la legislación que resulte de aplicación.</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981"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Esta circunstancia no impedirá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a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uso de los resultados en sus actividades profesionales de investigación y docencia no comerciales, salvaguardando los derechos de propiedad industrial e intelectual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respetando lo establecido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Conforme a lo establecido en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compromete a publicar, una vez finalizado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los resultados obtenidos, sean positivos o negativos. Esta publicación tendrá lugar en medios científicos de acceso público, preferentemente en revistas científicas.</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 los resultados finales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fuesen sometidos a publicación por parte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podrá dar a conocer, con fines profesionales y en revistas y publicaciones científicas, dichos datos, descubrimientos o invenciones, con mención, al menos,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acuerdo a los siguientes criterios: Ensayos con productos no comercializados: en el primer año después de su autorización y comercialización en cualquier país; Ensayos realizados después de la comercialización: en el año posterior a la finalización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 menos que se comprometa la publicación en una revista médica sometida a revisión por pares o contravenga la legislación nacional.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El 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deberá recibir para revisión, copia del texto propuesto para su publicación y/o divulgación, de conformidad con lo establecido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en caso de no indicar nada al respecto, al menos cuarenta y cinco (45) días antes de la fecha de envío a la revista científica y, al menos, veinte (20) días antes, en el caso de que se trate de un resumen. En cualquier caso,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sólo podrá utilizar estos datos previa autorización expresa y por escrito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acuerdan que la compensación prevista (i) constituye una compensación justa en relación a los servicios prestados según su experiencia; (ii) que no constituye un incentivo para, o a cambio de, pasadas, presentes o futuras prescripciones, compras, recomendaciones, uso, obtención de un estatus formulario preferencial o dispensaciones de cualquier producto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 modo alguno supeditado o de cualquier actividad parecida; y, (iii) no supone una alteración del juicio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relación al asesoramiento y cuidado de cada uno de los Sujetos.</w:t>
      </w:r>
    </w:p>
    <w:p w:rsidR="00000000" w:rsidDel="00000000" w:rsidP="00000000" w:rsidRDefault="00000000" w:rsidRPr="00000000" w14:paraId="000000FE">
      <w:pPr>
        <w:pStyle w:val="Heading1"/>
        <w:tabs>
          <w:tab w:val="left" w:leader="none" w:pos="2102"/>
        </w:tabs>
        <w:spacing w:before="9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UNDÉCIMA</w:t>
      </w:r>
      <w:r w:rsidDel="00000000" w:rsidR="00000000" w:rsidRPr="00000000">
        <w:rPr>
          <w:rFonts w:ascii="Times New Roman" w:cs="Times New Roman" w:eastAsia="Times New Roman" w:hAnsi="Times New Roman"/>
          <w:rtl w:val="0"/>
        </w:rPr>
        <w:t xml:space="preserve">.- CLAÚSULA ANTICORRUPCIÓN</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70"/>
        </w:tabs>
        <w:spacing w:after="0" w:before="101"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política anticorrupción establece que todos los empleados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de cualquier tercero que actúe para las mismas o en su nombre, no tengan ningún interés o compromiso que entre en conflicto o le impida desarrollar sus obligaciones en el presente Contrato. Todas las actividades se deben llevar a cabo respetando y cumpliendo estrictamente con los estándares éticos y la legislación aplicable.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consideran esencial un comportamiento íntegro y transparente aplicando una política de tolerancia cero con cualquier práctica corrupta.</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Los empleados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cualquier tercero que actúe en nombre de las mismas, no realizarán pagos de ningún tipo, bajo ningún concepto, ni directa ni indirectamente, a cualquiera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participantes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 el propósito de obtener una ventaja improcedente o de influir indebidamente en la toma de cualquier decisión. Se incluyen en este concepto los pagos o promesas de pago, en especie y/o en metálico, así como cualquier otro ofrecimiento de bien o servicio.</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047"/>
        </w:tabs>
        <w:spacing w:after="0" w:before="0" w:line="276"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registrará de forma fidedigna todas las transacciones económicas derivadas del presente Contrato y pondrá a disposición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cuando éste se lo solicite por escrito, la documentación correspondiente que permita verificar el cumplimiento de los compromisos recogidos en el presente documento.</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6">
      <w:pPr>
        <w:pStyle w:val="Heading1"/>
        <w:tabs>
          <w:tab w:val="left" w:leader="none" w:pos="2359"/>
        </w:tabs>
        <w:spacing w:before="192"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DUODÉCIMA</w:t>
      </w:r>
      <w:r w:rsidDel="00000000" w:rsidR="00000000" w:rsidRPr="00000000">
        <w:rPr>
          <w:rFonts w:ascii="Times New Roman" w:cs="Times New Roman" w:eastAsia="Times New Roman" w:hAnsi="Times New Roman"/>
          <w:rtl w:val="0"/>
        </w:rPr>
        <w:t xml:space="preserve">.- JURISDICCIÓN</w:t>
      </w:r>
    </w:p>
    <w:p w:rsidR="00000000" w:rsidDel="00000000" w:rsidP="00000000" w:rsidRDefault="00000000" w:rsidRPr="00000000" w14:paraId="00000107">
      <w:pPr>
        <w:pStyle w:val="Heading1"/>
        <w:tabs>
          <w:tab w:val="left" w:leader="none" w:pos="2359"/>
        </w:tabs>
        <w:spacing w:before="192"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tabs>
          <w:tab w:val="left" w:leader="none" w:pos="284"/>
        </w:tabs>
        <w:spacing w:line="276" w:lineRule="auto"/>
        <w:ind w:left="993" w:right="256" w:hanging="10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12.1</w:t>
      </w:r>
      <w:r w:rsidDel="00000000" w:rsidR="00000000" w:rsidRPr="00000000">
        <w:rPr>
          <w:rFonts w:ascii="Times New Roman" w:cs="Times New Roman" w:eastAsia="Times New Roman" w:hAnsi="Times New Roman"/>
          <w:b w:val="1"/>
          <w:rtl w:val="0"/>
        </w:rPr>
        <w:t xml:space="preserve"> </w:t>
        <w:tab/>
      </w:r>
      <w:r w:rsidDel="00000000" w:rsidR="00000000" w:rsidRPr="00000000">
        <w:rPr>
          <w:rFonts w:ascii="Times New Roman" w:cs="Times New Roman" w:eastAsia="Times New Roman" w:hAnsi="Times New Roman"/>
          <w:rtl w:val="0"/>
        </w:rPr>
        <w:t xml:space="preserve">Para resolver cualquier discrepancia en la aplicación o interpretación de lo establecido en este Contrato, las </w:t>
      </w:r>
      <w:r w:rsidDel="00000000" w:rsidR="00000000" w:rsidRPr="00000000">
        <w:rPr>
          <w:rFonts w:ascii="Times New Roman" w:cs="Times New Roman" w:eastAsia="Times New Roman" w:hAnsi="Times New Roman"/>
          <w:b w:val="1"/>
          <w:rtl w:val="0"/>
        </w:rPr>
        <w:t xml:space="preserve">PARTES </w:t>
      </w:r>
      <w:r w:rsidDel="00000000" w:rsidR="00000000" w:rsidRPr="00000000">
        <w:rPr>
          <w:rFonts w:ascii="Times New Roman" w:cs="Times New Roman" w:eastAsia="Times New Roman" w:hAnsi="Times New Roman"/>
          <w:rtl w:val="0"/>
        </w:rPr>
        <w:t xml:space="preserve">se someten, con renuncia expresa al fuero que pudiese corresponderles, a la jurisdicción de los juzgados y tribunales de la localidad de la Comunidad de Madrid donde radique el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09">
      <w:pPr>
        <w:tabs>
          <w:tab w:val="left" w:leader="none" w:pos="284"/>
        </w:tabs>
        <w:spacing w:line="276" w:lineRule="auto"/>
        <w:ind w:left="993" w:right="256" w:hanging="104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tabs>
          <w:tab w:val="left" w:leader="none" w:pos="284"/>
        </w:tabs>
        <w:spacing w:line="276" w:lineRule="auto"/>
        <w:ind w:left="993" w:right="256" w:hanging="76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12.2</w:t>
        <w:tab/>
        <w:t xml:space="preserve">En el caso de disponer de una copia de este Contrato en otra lengua o idioma, prevalecerá la versión en español.</w:t>
      </w:r>
    </w:p>
    <w:p w:rsidR="00000000" w:rsidDel="00000000" w:rsidP="00000000" w:rsidRDefault="00000000" w:rsidRPr="00000000" w14:paraId="0000010B">
      <w:pPr>
        <w:tabs>
          <w:tab w:val="left" w:leader="none" w:pos="284"/>
        </w:tabs>
        <w:spacing w:line="276" w:lineRule="auto"/>
        <w:ind w:left="993" w:right="256" w:hanging="763"/>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98"/>
        </w:tabs>
        <w:spacing w:after="0" w:before="0" w:line="276" w:lineRule="auto"/>
        <w:ind w:left="993" w:right="292" w:hanging="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12.3     </w:t>
        <w:tab/>
        <w:t xml:space="preserve">Y para que conste, y en prueba de conformidad,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firman este documento por cuadruplicado y a un solo efecto.</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98"/>
        </w:tabs>
        <w:spacing w:after="0" w:before="0" w:line="276" w:lineRule="auto"/>
        <w:ind w:left="0" w:right="29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tabs>
          <w:tab w:val="left" w:leader="none" w:pos="4475"/>
        </w:tabs>
        <w:spacing w:before="91" w:line="276" w:lineRule="auto"/>
        <w:ind w:left="4476" w:right="543" w:hanging="4215"/>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Por el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 xml:space="preserve">,</w:t>
        <w:tab/>
        <w:t xml:space="preserve">La </w:t>
      </w:r>
      <w:r w:rsidDel="00000000" w:rsidR="00000000" w:rsidRPr="00000000">
        <w:rPr>
          <w:rFonts w:ascii="Times New Roman" w:cs="Times New Roman" w:eastAsia="Times New Roman" w:hAnsi="Times New Roman"/>
          <w:b w:val="1"/>
          <w:rtl w:val="0"/>
        </w:rPr>
        <w:t xml:space="preserve">CRO </w:t>
      </w:r>
      <w:r w:rsidDel="00000000" w:rsidR="00000000" w:rsidRPr="00000000">
        <w:rPr>
          <w:rFonts w:ascii="Times New Roman" w:cs="Times New Roman" w:eastAsia="Times New Roman" w:hAnsi="Times New Roman"/>
          <w:i w:val="1"/>
          <w:rtl w:val="0"/>
        </w:rPr>
        <w:t xml:space="preserve">en nombre y representación del promotor</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7"/>
          <w:tab w:val="left" w:leader="none" w:pos="4475"/>
          <w:tab w:val="left" w:leader="none" w:pos="5290"/>
        </w:tabs>
        <w:spacing w:after="0" w:before="101" w:line="240" w:lineRule="auto"/>
        <w:ind w:left="261"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D.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7"/>
          <w:tab w:val="left" w:leader="none" w:pos="4475"/>
          <w:tab w:val="left" w:leader="none" w:pos="5290"/>
        </w:tabs>
        <w:spacing w:after="0" w:before="101" w:line="240" w:lineRule="auto"/>
        <w:ind w:left="261"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11">
      <w:pPr>
        <w:spacing w:line="276" w:lineRule="auto"/>
        <w:ind w:left="4320" w:hanging="4059"/>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Por la </w:t>
      </w:r>
      <w:r w:rsidDel="00000000" w:rsidR="00000000" w:rsidRPr="00000000">
        <w:rPr>
          <w:rFonts w:ascii="Times New Roman" w:cs="Times New Roman" w:eastAsia="Times New Roman" w:hAnsi="Times New Roman"/>
          <w:rtl w:val="0"/>
        </w:rPr>
        <w:t xml:space="preserve">FUNDACIÓN.</w:t>
        <w:tab/>
        <w:tab/>
        <w:t xml:space="preserve">Por el </w:t>
      </w:r>
      <w:r w:rsidDel="00000000" w:rsidR="00000000" w:rsidRPr="00000000">
        <w:rPr>
          <w:rFonts w:ascii="Times New Roman" w:cs="Times New Roman" w:eastAsia="Times New Roman" w:hAnsi="Times New Roman"/>
          <w:b w:val="1"/>
          <w:rtl w:val="0"/>
        </w:rPr>
        <w:t xml:space="preserve">EL SERMAS (HOSPITAL)</w:t>
      </w:r>
    </w:p>
    <w:p w:rsidR="00000000" w:rsidDel="00000000" w:rsidP="00000000" w:rsidRDefault="00000000" w:rsidRPr="00000000" w14:paraId="00000112">
      <w:pPr>
        <w:spacing w:line="276" w:lineRule="auto"/>
        <w:ind w:left="4320" w:hanging="4059"/>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3">
      <w:pPr>
        <w:spacing w:line="276"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4">
      <w:pPr>
        <w:ind w:left="4961" w:hanging="470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Fernando Neira Álvarez</w:t>
        <w:tab/>
        <w:t xml:space="preserve">Fdo. José Gilberto González Antón</w:t>
      </w:r>
    </w:p>
    <w:p w:rsidR="00000000" w:rsidDel="00000000" w:rsidP="00000000" w:rsidRDefault="00000000" w:rsidRPr="00000000" w14:paraId="00000115">
      <w:pPr>
        <w:spacing w:line="276" w:lineRule="auto"/>
        <w:ind w:left="4320" w:hanging="405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116">
      <w:pPr>
        <w:pStyle w:val="Heading1"/>
        <w:spacing w:before="101"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INVESTIGADOR PRINCIPAL</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continuous"/>
          <w:pgSz w:h="16840" w:w="11910" w:orient="portrait"/>
          <w:pgMar w:bottom="1240" w:top="1814" w:left="1440" w:right="1440" w:header="709" w:footer="1017"/>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0" w:right="254"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10" w:type="default"/>
          <w:headerReference r:id="rId11" w:type="first"/>
          <w:footerReference r:id="rId12" w:type="default"/>
          <w:type w:val="continuous"/>
          <w:pgSz w:h="16840" w:w="11910" w:orient="portrait"/>
          <w:pgMar w:bottom="1200" w:top="1480" w:left="1440" w:right="1440" w:header="317" w:footer="1017"/>
          <w:pgNumType w:start="1"/>
          <w:titlePg w:val="1"/>
        </w:sect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54"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type w:val="continuous"/>
          <w:pgSz w:h="16840" w:w="11910" w:orient="portrait"/>
          <w:pgMar w:bottom="1240" w:top="1480" w:left="1440" w:right="1440" w:header="317" w:footer="1017"/>
        </w:sectPr>
      </w:pPr>
      <w:r w:rsidDel="00000000" w:rsidR="00000000" w:rsidRPr="00000000">
        <w:rPr>
          <w:rtl w:val="0"/>
        </w:rPr>
      </w:r>
    </w:p>
    <w:p w:rsidR="00000000" w:rsidDel="00000000" w:rsidP="00000000" w:rsidRDefault="00000000" w:rsidRPr="00000000" w14:paraId="0000011B">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ANEXO I</w:t>
      </w:r>
    </w:p>
    <w:p w:rsidR="00000000" w:rsidDel="00000000" w:rsidP="00000000" w:rsidRDefault="00000000" w:rsidRPr="00000000" w14:paraId="0000011C">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MEMORIA ECONÓMICA</w:t>
      </w:r>
    </w:p>
    <w:p w:rsidR="00000000" w:rsidDel="00000000" w:rsidP="00000000" w:rsidRDefault="00000000" w:rsidRPr="00000000" w14:paraId="0000011E">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F">
      <w:pPr>
        <w:tabs>
          <w:tab w:val="left" w:leader="none" w:pos="1943"/>
        </w:tabs>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II</w:t>
      </w:r>
    </w:p>
    <w:p w:rsidR="00000000" w:rsidDel="00000000" w:rsidP="00000000" w:rsidRDefault="00000000" w:rsidRPr="00000000" w14:paraId="00000120">
      <w:pPr>
        <w:tabs>
          <w:tab w:val="left" w:leader="none" w:pos="1943"/>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1">
      <w:pPr>
        <w:tabs>
          <w:tab w:val="left" w:leader="none" w:pos="1943"/>
        </w:tabs>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RELACIÓN DE INTEGRANTES DEL EQUIPO INVESTIGADOR </w:t>
      </w:r>
    </w:p>
    <w:p w:rsidR="00000000" w:rsidDel="00000000" w:rsidP="00000000" w:rsidRDefault="00000000" w:rsidRPr="00000000" w14:paraId="00000122">
      <w:pPr>
        <w:tabs>
          <w:tab w:val="left" w:leader="none" w:pos="1943"/>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3">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Principal: </w:t>
      </w:r>
    </w:p>
    <w:p w:rsidR="00000000" w:rsidDel="00000000" w:rsidP="00000000" w:rsidRDefault="00000000" w:rsidRPr="00000000" w14:paraId="00000124">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5">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26">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w:t>
      </w:r>
    </w:p>
    <w:p w:rsidR="00000000" w:rsidDel="00000000" w:rsidP="00000000" w:rsidRDefault="00000000" w:rsidRPr="00000000" w14:paraId="00000127">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 de ___ </w:t>
      </w:r>
    </w:p>
    <w:p w:rsidR="00000000" w:rsidDel="00000000" w:rsidP="00000000" w:rsidRDefault="00000000" w:rsidRPr="00000000" w14:paraId="00000128">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9">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Colaboradores: </w:t>
      </w:r>
    </w:p>
    <w:p w:rsidR="00000000" w:rsidDel="00000000" w:rsidP="00000000" w:rsidRDefault="00000000" w:rsidRPr="00000000" w14:paraId="0000012A">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B">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2C">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Servicio de ___ </w:t>
      </w:r>
    </w:p>
    <w:p w:rsidR="00000000" w:rsidDel="00000000" w:rsidP="00000000" w:rsidRDefault="00000000" w:rsidRPr="00000000" w14:paraId="0000012D">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E">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2F">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w:t>
      </w:r>
    </w:p>
    <w:p w:rsidR="00000000" w:rsidDel="00000000" w:rsidP="00000000" w:rsidRDefault="00000000" w:rsidRPr="00000000" w14:paraId="00000130">
      <w:pPr>
        <w:tabs>
          <w:tab w:val="left" w:leader="none" w:pos="1943"/>
        </w:tabs>
        <w:rPr/>
      </w:pPr>
      <w:r w:rsidDel="00000000" w:rsidR="00000000" w:rsidRPr="00000000">
        <w:rPr>
          <w:rFonts w:ascii="Times New Roman" w:cs="Times New Roman" w:eastAsia="Times New Roman" w:hAnsi="Times New Roman"/>
          <w:rtl w:val="0"/>
        </w:rPr>
        <w:t xml:space="preserve">Servicio de ___</w:t>
      </w:r>
      <w:r w:rsidDel="00000000" w:rsidR="00000000" w:rsidRPr="00000000">
        <w:rPr>
          <w:rtl w:val="0"/>
        </w:rPr>
      </w:r>
    </w:p>
    <w:p w:rsidR="00000000" w:rsidDel="00000000" w:rsidP="00000000" w:rsidRDefault="00000000" w:rsidRPr="00000000" w14:paraId="00000131">
      <w:pPr>
        <w:pStyle w:val="Heading1"/>
        <w:tabs>
          <w:tab w:val="left" w:leader="none" w:pos="1943"/>
        </w:tabs>
        <w:ind w:left="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2">
      <w:pPr>
        <w:pStyle w:val="Heading1"/>
        <w:tabs>
          <w:tab w:val="left" w:leader="none" w:pos="1943"/>
        </w:tabs>
        <w:ind w:left="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ANEXO III</w:t>
      </w:r>
    </w:p>
    <w:p w:rsidR="00000000" w:rsidDel="00000000" w:rsidP="00000000" w:rsidRDefault="00000000" w:rsidRPr="00000000" w14:paraId="00000133">
      <w:pPr>
        <w:pStyle w:val="Heading1"/>
        <w:tabs>
          <w:tab w:val="left" w:leader="none" w:pos="1943"/>
        </w:tabs>
        <w:ind w:left="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4">
      <w:pPr>
        <w:pStyle w:val="Heading1"/>
        <w:tabs>
          <w:tab w:val="left" w:leader="none" w:pos="1943"/>
        </w:tabs>
        <w:ind w:left="0"/>
        <w:jc w:val="center"/>
        <w:rPr>
          <w:rFonts w:ascii="Times New Roman" w:cs="Times New Roman" w:eastAsia="Times New Roman" w:hAnsi="Times New Roman"/>
        </w:rPr>
      </w:pPr>
      <w:bookmarkStart w:colFirst="0" w:colLast="0" w:name="_heading=h.b8a4w5tm59qd" w:id="2"/>
      <w:bookmarkEnd w:id="2"/>
      <w:r w:rsidDel="00000000" w:rsidR="00000000" w:rsidRPr="00000000">
        <w:rPr>
          <w:rFonts w:ascii="Times New Roman" w:cs="Times New Roman" w:eastAsia="Times New Roman" w:hAnsi="Times New Roman"/>
          <w:rtl w:val="0"/>
        </w:rPr>
        <w:t xml:space="preserve">CERTIFICADO DE LA PÓLIZA DE SEGURO</w:t>
      </w:r>
    </w:p>
    <w:p w:rsidR="00000000" w:rsidDel="00000000" w:rsidP="00000000" w:rsidRDefault="00000000" w:rsidRPr="00000000" w14:paraId="00000135">
      <w:pPr>
        <w:tabs>
          <w:tab w:val="left" w:leader="none" w:pos="1943"/>
        </w:tabs>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r>
    </w:p>
    <w:sectPr>
      <w:headerReference r:id="rId13" w:type="default"/>
      <w:headerReference r:id="rId14" w:type="first"/>
      <w:footerReference r:id="rId15" w:type="default"/>
      <w:type w:val="nextPage"/>
      <w:pgSz w:h="16840" w:w="11910" w:orient="portrait"/>
      <w:pgMar w:bottom="1240" w:top="1480" w:left="1440" w:right="1440" w:header="317" w:footer="101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5359400</wp:posOffset>
              </wp:positionH>
              <wp:positionV relativeFrom="paragraph">
                <wp:posOffset>9867900</wp:posOffset>
              </wp:positionV>
              <wp:extent cx="231140" cy="205740"/>
              <wp:effectExtent b="0" l="0" r="0" t="0"/>
              <wp:wrapNone/>
              <wp:docPr id="50" name=""/>
              <a:graphic>
                <a:graphicData uri="http://schemas.microsoft.com/office/word/2010/wordprocessingShape">
                  <wps:wsp>
                    <wps:cNvSpPr/>
                    <wps:cNvPr id="7" name="Shape 7"/>
                    <wps:spPr>
                      <a:xfrm>
                        <a:off x="5235193" y="3681893"/>
                        <a:ext cx="221615" cy="196215"/>
                      </a:xfrm>
                      <a:prstGeom prst="rect">
                        <a:avLst/>
                      </a:prstGeom>
                      <a:noFill/>
                      <a:ln>
                        <a:noFill/>
                      </a:ln>
                    </wps:spPr>
                    <wps:txbx>
                      <w:txbxContent>
                        <w:p w:rsidR="00000000" w:rsidDel="00000000" w:rsidP="00000000" w:rsidRDefault="00000000" w:rsidRPr="00000000">
                          <w:pPr>
                            <w:spacing w:after="0" w:before="12.000000476837158" w:line="240"/>
                            <w:ind w:left="40" w:right="0" w:firstLine="4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5359400</wp:posOffset>
              </wp:positionH>
              <wp:positionV relativeFrom="paragraph">
                <wp:posOffset>9867900</wp:posOffset>
              </wp:positionV>
              <wp:extent cx="231140" cy="205740"/>
              <wp:effectExtent b="0" l="0" r="0" t="0"/>
              <wp:wrapNone/>
              <wp:docPr id="5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31140" cy="20574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5359400</wp:posOffset>
              </wp:positionH>
              <wp:positionV relativeFrom="paragraph">
                <wp:posOffset>9867900</wp:posOffset>
              </wp:positionV>
              <wp:extent cx="231140" cy="205740"/>
              <wp:effectExtent b="0" l="0" r="0" t="0"/>
              <wp:wrapNone/>
              <wp:docPr id="48" name=""/>
              <a:graphic>
                <a:graphicData uri="http://schemas.microsoft.com/office/word/2010/wordprocessingShape">
                  <wps:wsp>
                    <wps:cNvSpPr/>
                    <wps:cNvPr id="5" name="Shape 5"/>
                    <wps:spPr>
                      <a:xfrm>
                        <a:off x="5235193" y="3681893"/>
                        <a:ext cx="221615" cy="196215"/>
                      </a:xfrm>
                      <a:prstGeom prst="rect">
                        <a:avLst/>
                      </a:prstGeom>
                      <a:noFill/>
                      <a:ln>
                        <a:noFill/>
                      </a:ln>
                    </wps:spPr>
                    <wps:txbx>
                      <w:txbxContent>
                        <w:p w:rsidR="00000000" w:rsidDel="00000000" w:rsidP="00000000" w:rsidRDefault="00000000" w:rsidRPr="00000000">
                          <w:pPr>
                            <w:spacing w:after="0" w:before="12.000000476837158" w:line="240"/>
                            <w:ind w:left="40" w:right="0" w:firstLine="4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5359400</wp:posOffset>
              </wp:positionH>
              <wp:positionV relativeFrom="paragraph">
                <wp:posOffset>9867900</wp:posOffset>
              </wp:positionV>
              <wp:extent cx="231140" cy="205740"/>
              <wp:effectExtent b="0" l="0" r="0" t="0"/>
              <wp:wrapNone/>
              <wp:docPr id="48"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31140" cy="2057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w:drawing>
        <wp:inline distB="0" distT="0" distL="0" distR="0">
          <wp:extent cx="2552700" cy="419777"/>
          <wp:effectExtent b="0" l="0" r="0" t="0"/>
          <wp:docPr id="55"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2552700" cy="419777"/>
                  </a:xfrm>
                  <a:prstGeom prst="rect"/>
                  <a:ln/>
                </pic:spPr>
              </pic:pic>
            </a:graphicData>
          </a:graphic>
        </wp:inline>
      </w:drawing>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r w:rsidDel="00000000" w:rsidR="00000000" w:rsidRPr="00000000">
      <w:rPr>
        <w:rFonts w:ascii="Verdana" w:cs="Verdana" w:eastAsia="Verdana" w:hAnsi="Verdana"/>
        <w:b w:val="1"/>
        <w:i w:val="0"/>
        <w:smallCaps w:val="0"/>
        <w:strike w:val="0"/>
        <w:color w:val="3366ff"/>
        <w:sz w:val="22"/>
        <w:szCs w:val="22"/>
        <w:u w:val="none"/>
        <w:shd w:fill="auto" w:val="clear"/>
        <w:vertAlign w:val="baseline"/>
      </w:rPr>
      <w:drawing>
        <wp:inline distB="0" distT="0" distL="0" distR="0">
          <wp:extent cx="2254250" cy="419100"/>
          <wp:effectExtent b="0" l="0" r="0" t="0"/>
          <wp:docPr descr="Logo HUSO - Nuevo" id="56" name="image8.png"/>
          <a:graphic>
            <a:graphicData uri="http://schemas.openxmlformats.org/drawingml/2006/picture">
              <pic:pic>
                <pic:nvPicPr>
                  <pic:cNvPr descr="Logo HUSO - Nuevo" id="0" name="image8.png"/>
                  <pic:cNvPicPr preferRelativeResize="0"/>
                </pic:nvPicPr>
                <pic:blipFill>
                  <a:blip r:embed="rId2"/>
                  <a:srcRect b="0" l="0" r="0" t="0"/>
                  <a:stretch>
                    <a:fillRect/>
                  </a:stretch>
                </pic:blipFill>
                <pic:spPr>
                  <a:xfrm>
                    <a:off x="0" y="0"/>
                    <a:ext cx="2254250" cy="419100"/>
                  </a:xfrm>
                  <a:prstGeom prst="rect"/>
                  <a:ln/>
                </pic:spPr>
              </pic:pic>
            </a:graphicData>
          </a:graphic>
        </wp:inline>
      </w:drawing>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                                                                                </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-228599</wp:posOffset>
              </wp:positionV>
              <wp:extent cx="1057275" cy="238125"/>
              <wp:effectExtent b="0" l="0" r="0" t="0"/>
              <wp:wrapNone/>
              <wp:docPr id="47" name=""/>
              <a:graphic>
                <a:graphicData uri="http://schemas.microsoft.com/office/word/2010/wordprocessingShape">
                  <wps:wsp>
                    <wps:cNvSpPr/>
                    <wps:cNvPr id="4" name="Shape 4"/>
                    <wps:spPr>
                      <a:xfrm>
                        <a:off x="4822125" y="3665700"/>
                        <a:ext cx="1047750" cy="228600"/>
                      </a:xfrm>
                      <a:prstGeom prst="rect">
                        <a:avLst/>
                      </a:prstGeom>
                      <a:noFill/>
                      <a:ln cap="flat" cmpd="sng" w="9525">
                        <a:solidFill>
                          <a:schemeClr val="dk1">
                            <a:alpha val="74901"/>
                          </a:scheme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-228599</wp:posOffset>
              </wp:positionV>
              <wp:extent cx="1057275" cy="238125"/>
              <wp:effectExtent b="0" l="0" r="0" t="0"/>
              <wp:wrapNone/>
              <wp:docPr id="47"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057275" cy="238125"/>
                      </a:xfrm>
                      <a:prstGeom prst="rect"/>
                      <a:ln/>
                    </pic:spPr>
                  </pic:pic>
                </a:graphicData>
              </a:graphic>
            </wp:anchor>
          </w:drawing>
        </mc:Fallback>
      </mc:AlternateConten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3771900</wp:posOffset>
          </wp:positionH>
          <wp:positionV relativeFrom="paragraph">
            <wp:posOffset>-61594</wp:posOffset>
          </wp:positionV>
          <wp:extent cx="2057400" cy="583565"/>
          <wp:effectExtent b="0" l="0" r="0" t="0"/>
          <wp:wrapSquare wrapText="bothSides" distB="0" distT="0" distL="114300" distR="114300"/>
          <wp:docPr descr="Descripción: Hospital Universitario Puerta de Hierro Majadahonda2" id="52" name="image2.jpg"/>
          <a:graphic>
            <a:graphicData uri="http://schemas.openxmlformats.org/drawingml/2006/picture">
              <pic:pic>
                <pic:nvPicPr>
                  <pic:cNvPr descr="Descripción: Hospital Universitario Puerta de Hierro Majadahonda2" id="0" name="image2.jpg"/>
                  <pic:cNvPicPr preferRelativeResize="0"/>
                </pic:nvPicPr>
                <pic:blipFill>
                  <a:blip r:embed="rId1"/>
                  <a:srcRect b="0" l="0" r="0" t="0"/>
                  <a:stretch>
                    <a:fillRect/>
                  </a:stretch>
                </pic:blipFill>
                <pic:spPr>
                  <a:xfrm>
                    <a:off x="0" y="0"/>
                    <a:ext cx="2057400" cy="5835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69851</wp:posOffset>
          </wp:positionH>
          <wp:positionV relativeFrom="paragraph">
            <wp:posOffset>-61594</wp:posOffset>
          </wp:positionV>
          <wp:extent cx="2857500" cy="476250"/>
          <wp:effectExtent b="0" l="0" r="0" t="0"/>
          <wp:wrapNone/>
          <wp:docPr id="57" name="image7.png"/>
          <a:graphic>
            <a:graphicData uri="http://schemas.openxmlformats.org/drawingml/2006/picture">
              <pic:pic>
                <pic:nvPicPr>
                  <pic:cNvPr id="0" name="image7.png"/>
                  <pic:cNvPicPr preferRelativeResize="0"/>
                </pic:nvPicPr>
                <pic:blipFill>
                  <a:blip r:embed="rId2"/>
                  <a:srcRect b="0" l="0" r="0" t="0"/>
                  <a:stretch>
                    <a:fillRect/>
                  </a:stretch>
                </pic:blipFill>
                <pic:spPr>
                  <a:xfrm>
                    <a:off x="0" y="0"/>
                    <a:ext cx="2857500" cy="476250"/>
                  </a:xfrm>
                  <a:prstGeom prst="rect"/>
                  <a:ln/>
                </pic:spPr>
              </pic:pic>
            </a:graphicData>
          </a:graphic>
        </wp:anchor>
      </w:drawing>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4546600</wp:posOffset>
          </wp:positionH>
          <wp:positionV relativeFrom="page">
            <wp:posOffset>254000</wp:posOffset>
          </wp:positionV>
          <wp:extent cx="1976120" cy="365125"/>
          <wp:effectExtent b="0" l="0" r="0" t="0"/>
          <wp:wrapNone/>
          <wp:docPr id="53"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1976120" cy="365125"/>
                  </a:xfrm>
                  <a:prstGeom prst="rect"/>
                  <a:ln/>
                </pic:spPr>
              </pic:pic>
            </a:graphicData>
          </a:graphic>
        </wp:anchor>
      </w:drawing>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1057275" cy="238125"/>
              <wp:effectExtent b="0" l="0" r="0" t="0"/>
              <wp:wrapNone/>
              <wp:docPr id="45" name=""/>
              <a:graphic>
                <a:graphicData uri="http://schemas.microsoft.com/office/word/2010/wordprocessingShape">
                  <wps:wsp>
                    <wps:cNvSpPr/>
                    <wps:cNvPr id="2" name="Shape 2"/>
                    <wps:spPr>
                      <a:xfrm>
                        <a:off x="4822125" y="3665700"/>
                        <a:ext cx="1047750" cy="228600"/>
                      </a:xfrm>
                      <a:prstGeom prst="rect">
                        <a:avLst/>
                      </a:prstGeom>
                      <a:noFill/>
                      <a:ln cap="flat" cmpd="sng" w="9525">
                        <a:solidFill>
                          <a:schemeClr val="dk1">
                            <a:alpha val="74901"/>
                          </a:scheme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1057275" cy="238125"/>
              <wp:effectExtent b="0" l="0" r="0" t="0"/>
              <wp:wrapNone/>
              <wp:docPr id="45"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1057275" cy="238125"/>
                      </a:xfrm>
                      <a:prstGeom prst="rect"/>
                      <a:ln/>
                    </pic:spPr>
                  </pic:pic>
                </a:graphicData>
              </a:graphic>
            </wp:anchor>
          </w:drawing>
        </mc:Fallback>
      </mc:AlternateConten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1057275" cy="238125"/>
              <wp:effectExtent b="0" l="0" r="0" t="0"/>
              <wp:wrapNone/>
              <wp:docPr id="51" name=""/>
              <a:graphic>
                <a:graphicData uri="http://schemas.microsoft.com/office/word/2010/wordprocessingShape">
                  <wps:wsp>
                    <wps:cNvSpPr/>
                    <wps:cNvPr id="8" name="Shape 8"/>
                    <wps:spPr>
                      <a:xfrm>
                        <a:off x="4822125" y="3665700"/>
                        <a:ext cx="1047750" cy="228600"/>
                      </a:xfrm>
                      <a:prstGeom prst="rect">
                        <a:avLst/>
                      </a:prstGeom>
                      <a:noFill/>
                      <a:ln cap="flat" cmpd="sng" w="9525">
                        <a:solidFill>
                          <a:schemeClr val="dk1">
                            <a:alpha val="74901"/>
                          </a:scheme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1057275" cy="238125"/>
              <wp:effectExtent b="0" l="0" r="0" t="0"/>
              <wp:wrapNone/>
              <wp:docPr id="51"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1057275" cy="238125"/>
                      </a:xfrm>
                      <a:prstGeom prst="rect"/>
                      <a:ln/>
                    </pic:spPr>
                  </pic:pic>
                </a:graphicData>
              </a:graphic>
            </wp:anchor>
          </w:drawing>
        </mc:Fallback>
      </mc:AlternateConten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3771900</wp:posOffset>
          </wp:positionH>
          <wp:positionV relativeFrom="paragraph">
            <wp:posOffset>-61594</wp:posOffset>
          </wp:positionV>
          <wp:extent cx="2057400" cy="583565"/>
          <wp:effectExtent b="0" l="0" r="0" t="0"/>
          <wp:wrapSquare wrapText="bothSides" distB="0" distT="0" distL="114300" distR="114300"/>
          <wp:docPr descr="Descripción: Hospital Universitario Puerta de Hierro Majadahonda2" id="54" name="image2.jpg"/>
          <a:graphic>
            <a:graphicData uri="http://schemas.openxmlformats.org/drawingml/2006/picture">
              <pic:pic>
                <pic:nvPicPr>
                  <pic:cNvPr descr="Descripción: Hospital Universitario Puerta de Hierro Majadahonda2" id="0" name="image2.jpg"/>
                  <pic:cNvPicPr preferRelativeResize="0"/>
                </pic:nvPicPr>
                <pic:blipFill>
                  <a:blip r:embed="rId1"/>
                  <a:srcRect b="0" l="0" r="0" t="0"/>
                  <a:stretch>
                    <a:fillRect/>
                  </a:stretch>
                </pic:blipFill>
                <pic:spPr>
                  <a:xfrm>
                    <a:off x="0" y="0"/>
                    <a:ext cx="2057400" cy="5835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69851</wp:posOffset>
          </wp:positionH>
          <wp:positionV relativeFrom="paragraph">
            <wp:posOffset>-61594</wp:posOffset>
          </wp:positionV>
          <wp:extent cx="2857500" cy="476250"/>
          <wp:effectExtent b="0" l="0" r="0" t="0"/>
          <wp:wrapNone/>
          <wp:docPr id="58" name="image7.png"/>
          <a:graphic>
            <a:graphicData uri="http://schemas.openxmlformats.org/drawingml/2006/picture">
              <pic:pic>
                <pic:nvPicPr>
                  <pic:cNvPr id="0" name="image7.png"/>
                  <pic:cNvPicPr preferRelativeResize="0"/>
                </pic:nvPicPr>
                <pic:blipFill>
                  <a:blip r:embed="rId2"/>
                  <a:srcRect b="0" l="0" r="0" t="0"/>
                  <a:stretch>
                    <a:fillRect/>
                  </a:stretch>
                </pic:blipFill>
                <pic:spPr>
                  <a:xfrm>
                    <a:off x="0" y="0"/>
                    <a:ext cx="2857500" cy="476250"/>
                  </a:xfrm>
                  <a:prstGeom prst="rect"/>
                  <a:ln/>
                </pic:spPr>
              </pic:pic>
            </a:graphicData>
          </a:graphic>
        </wp:anchor>
      </w:drawing>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1010" w:hanging="749"/>
      </w:pPr>
      <w:rPr/>
    </w:lvl>
    <w:lvl w:ilvl="1">
      <w:start w:val="1"/>
      <w:numFmt w:val="decimal"/>
      <w:lvlText w:val="%1.%2."/>
      <w:lvlJc w:val="left"/>
      <w:pPr>
        <w:ind w:left="1010" w:hanging="749"/>
      </w:pPr>
      <w:rPr>
        <w:rFonts w:ascii="Times New Roman" w:cs="Times New Roman" w:eastAsia="Times New Roman" w:hAnsi="Times New Roman"/>
        <w:sz w:val="22"/>
        <w:szCs w:val="22"/>
      </w:rPr>
    </w:lvl>
    <w:lvl w:ilvl="2">
      <w:start w:val="1"/>
      <w:numFmt w:val="decimal"/>
      <w:lvlText w:val="%1.%2.%3."/>
      <w:lvlJc w:val="left"/>
      <w:pPr>
        <w:ind w:left="1756" w:hanging="720"/>
      </w:pPr>
      <w:rPr>
        <w:rFonts w:ascii="Times New Roman" w:cs="Times New Roman" w:eastAsia="Times New Roman" w:hAnsi="Times New Roman"/>
        <w:sz w:val="22"/>
        <w:szCs w:val="22"/>
      </w:rPr>
    </w:lvl>
    <w:lvl w:ilvl="3">
      <w:start w:val="0"/>
      <w:numFmt w:val="bullet"/>
      <w:lvlText w:val="•"/>
      <w:lvlJc w:val="left"/>
      <w:pPr>
        <w:ind w:left="3374" w:hanging="720"/>
      </w:pPr>
      <w:rPr/>
    </w:lvl>
    <w:lvl w:ilvl="4">
      <w:start w:val="0"/>
      <w:numFmt w:val="bullet"/>
      <w:lvlText w:val="•"/>
      <w:lvlJc w:val="left"/>
      <w:pPr>
        <w:ind w:left="4181" w:hanging="720"/>
      </w:pPr>
      <w:rPr/>
    </w:lvl>
    <w:lvl w:ilvl="5">
      <w:start w:val="0"/>
      <w:numFmt w:val="bullet"/>
      <w:lvlText w:val="•"/>
      <w:lvlJc w:val="left"/>
      <w:pPr>
        <w:ind w:left="4989" w:hanging="720"/>
      </w:pPr>
      <w:rPr/>
    </w:lvl>
    <w:lvl w:ilvl="6">
      <w:start w:val="0"/>
      <w:numFmt w:val="bullet"/>
      <w:lvlText w:val="•"/>
      <w:lvlJc w:val="left"/>
      <w:pPr>
        <w:ind w:left="5796" w:hanging="720"/>
      </w:pPr>
      <w:rPr/>
    </w:lvl>
    <w:lvl w:ilvl="7">
      <w:start w:val="0"/>
      <w:numFmt w:val="bullet"/>
      <w:lvlText w:val="•"/>
      <w:lvlJc w:val="left"/>
      <w:pPr>
        <w:ind w:left="6603" w:hanging="720"/>
      </w:pPr>
      <w:rPr/>
    </w:lvl>
    <w:lvl w:ilvl="8">
      <w:start w:val="0"/>
      <w:numFmt w:val="bullet"/>
      <w:lvlText w:val="•"/>
      <w:lvlJc w:val="left"/>
      <w:pPr>
        <w:ind w:left="7410" w:hanging="720"/>
      </w:pPr>
      <w:rPr/>
    </w:lvl>
  </w:abstractNum>
  <w:abstractNum w:abstractNumId="2">
    <w:lvl w:ilvl="0">
      <w:start w:val="3"/>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sz w:val="22"/>
        <w:szCs w:val="22"/>
      </w:rPr>
    </w:lvl>
    <w:lvl w:ilvl="2">
      <w:start w:val="1"/>
      <w:numFmt w:val="decimal"/>
      <w:lvlText w:val="%1.%2.%3."/>
      <w:lvlJc w:val="left"/>
      <w:pPr>
        <w:ind w:left="1756" w:hanging="747.0000000000001"/>
      </w:pPr>
      <w:rPr>
        <w:rFonts w:ascii="Times New Roman" w:cs="Times New Roman" w:eastAsia="Times New Roman" w:hAnsi="Times New Roman"/>
        <w:sz w:val="22"/>
        <w:szCs w:val="22"/>
      </w:rPr>
    </w:lvl>
    <w:lvl w:ilvl="3">
      <w:start w:val="0"/>
      <w:numFmt w:val="bullet"/>
      <w:lvlText w:val="•"/>
      <w:lvlJc w:val="left"/>
      <w:pPr>
        <w:ind w:left="2849" w:hanging="747"/>
      </w:pPr>
      <w:rPr/>
    </w:lvl>
    <w:lvl w:ilvl="4">
      <w:start w:val="0"/>
      <w:numFmt w:val="bullet"/>
      <w:lvlText w:val="•"/>
      <w:lvlJc w:val="left"/>
      <w:pPr>
        <w:ind w:left="3393" w:hanging="747"/>
      </w:pPr>
      <w:rPr/>
    </w:lvl>
    <w:lvl w:ilvl="5">
      <w:start w:val="0"/>
      <w:numFmt w:val="bullet"/>
      <w:lvlText w:val="•"/>
      <w:lvlJc w:val="left"/>
      <w:pPr>
        <w:ind w:left="3938" w:hanging="747"/>
      </w:pPr>
      <w:rPr/>
    </w:lvl>
    <w:lvl w:ilvl="6">
      <w:start w:val="0"/>
      <w:numFmt w:val="bullet"/>
      <w:lvlText w:val="•"/>
      <w:lvlJc w:val="left"/>
      <w:pPr>
        <w:ind w:left="4482" w:hanging="747"/>
      </w:pPr>
      <w:rPr/>
    </w:lvl>
    <w:lvl w:ilvl="7">
      <w:start w:val="0"/>
      <w:numFmt w:val="bullet"/>
      <w:lvlText w:val="•"/>
      <w:lvlJc w:val="left"/>
      <w:pPr>
        <w:ind w:left="5027" w:hanging="747"/>
      </w:pPr>
      <w:rPr/>
    </w:lvl>
    <w:lvl w:ilvl="8">
      <w:start w:val="0"/>
      <w:numFmt w:val="bullet"/>
      <w:lvlText w:val="•"/>
      <w:lvlJc w:val="left"/>
      <w:pPr>
        <w:ind w:left="5571" w:hanging="747"/>
      </w:pPr>
      <w:rPr/>
    </w:lvl>
  </w:abstractNum>
  <w:abstractNum w:abstractNumId="3">
    <w:lvl w:ilvl="0">
      <w:start w:val="2"/>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b w:val="0"/>
        <w:sz w:val="22"/>
        <w:szCs w:val="22"/>
      </w:rPr>
    </w:lvl>
    <w:lvl w:ilvl="2">
      <w:start w:val="0"/>
      <w:numFmt w:val="bullet"/>
      <w:lvlText w:val="•"/>
      <w:lvlJc w:val="left"/>
      <w:pPr>
        <w:ind w:left="2589" w:hanging="720.0000000000002"/>
      </w:pPr>
      <w:rPr/>
    </w:lvl>
    <w:lvl w:ilvl="3">
      <w:start w:val="0"/>
      <w:numFmt w:val="bullet"/>
      <w:lvlText w:val="•"/>
      <w:lvlJc w:val="left"/>
      <w:pPr>
        <w:ind w:left="3393" w:hanging="720"/>
      </w:pPr>
      <w:rPr/>
    </w:lvl>
    <w:lvl w:ilvl="4">
      <w:start w:val="0"/>
      <w:numFmt w:val="bullet"/>
      <w:lvlText w:val="•"/>
      <w:lvlJc w:val="left"/>
      <w:pPr>
        <w:ind w:left="4198" w:hanging="720"/>
      </w:pPr>
      <w:rPr/>
    </w:lvl>
    <w:lvl w:ilvl="5">
      <w:start w:val="0"/>
      <w:numFmt w:val="bullet"/>
      <w:lvlText w:val="•"/>
      <w:lvlJc w:val="left"/>
      <w:pPr>
        <w:ind w:left="5002" w:hanging="720"/>
      </w:pPr>
      <w:rPr/>
    </w:lvl>
    <w:lvl w:ilvl="6">
      <w:start w:val="0"/>
      <w:numFmt w:val="bullet"/>
      <w:lvlText w:val="•"/>
      <w:lvlJc w:val="left"/>
      <w:pPr>
        <w:ind w:left="5807" w:hanging="720"/>
      </w:pPr>
      <w:rPr/>
    </w:lvl>
    <w:lvl w:ilvl="7">
      <w:start w:val="0"/>
      <w:numFmt w:val="bullet"/>
      <w:lvlText w:val="•"/>
      <w:lvlJc w:val="left"/>
      <w:pPr>
        <w:ind w:left="6611" w:hanging="720"/>
      </w:pPr>
      <w:rPr/>
    </w:lvl>
    <w:lvl w:ilvl="8">
      <w:start w:val="0"/>
      <w:numFmt w:val="bullet"/>
      <w:lvlText w:val="•"/>
      <w:lvlJc w:val="left"/>
      <w:pPr>
        <w:ind w:left="7416" w:hanging="720"/>
      </w:pPr>
      <w:rPr/>
    </w:lvl>
  </w:abstractNum>
  <w:abstractNum w:abstractNumId="4">
    <w:lvl w:ilvl="0">
      <w:start w:val="11"/>
      <w:numFmt w:val="decimal"/>
      <w:lvlText w:val="%1"/>
      <w:lvlJc w:val="left"/>
      <w:pPr>
        <w:ind w:left="981" w:hanging="708"/>
      </w:pPr>
      <w:rPr/>
    </w:lvl>
    <w:lvl w:ilvl="1">
      <w:start w:val="1"/>
      <w:numFmt w:val="decimal"/>
      <w:lvlText w:val="%1.%2."/>
      <w:lvlJc w:val="left"/>
      <w:pPr>
        <w:ind w:left="981" w:hanging="708"/>
      </w:pPr>
      <w:rPr>
        <w:rFonts w:ascii="Times New Roman" w:cs="Times New Roman" w:eastAsia="Times New Roman" w:hAnsi="Times New Roman"/>
        <w:sz w:val="22"/>
        <w:szCs w:val="22"/>
      </w:rPr>
    </w:lvl>
    <w:lvl w:ilvl="2">
      <w:start w:val="0"/>
      <w:numFmt w:val="bullet"/>
      <w:lvlText w:val="•"/>
      <w:lvlJc w:val="left"/>
      <w:pPr>
        <w:ind w:left="2589" w:hanging="708.0000000000005"/>
      </w:pPr>
      <w:rPr/>
    </w:lvl>
    <w:lvl w:ilvl="3">
      <w:start w:val="0"/>
      <w:numFmt w:val="bullet"/>
      <w:lvlText w:val="•"/>
      <w:lvlJc w:val="left"/>
      <w:pPr>
        <w:ind w:left="3393" w:hanging="708"/>
      </w:pPr>
      <w:rPr/>
    </w:lvl>
    <w:lvl w:ilvl="4">
      <w:start w:val="0"/>
      <w:numFmt w:val="bullet"/>
      <w:lvlText w:val="•"/>
      <w:lvlJc w:val="left"/>
      <w:pPr>
        <w:ind w:left="4198" w:hanging="708"/>
      </w:pPr>
      <w:rPr/>
    </w:lvl>
    <w:lvl w:ilvl="5">
      <w:start w:val="0"/>
      <w:numFmt w:val="bullet"/>
      <w:lvlText w:val="•"/>
      <w:lvlJc w:val="left"/>
      <w:pPr>
        <w:ind w:left="5002" w:hanging="708"/>
      </w:pPr>
      <w:rPr/>
    </w:lvl>
    <w:lvl w:ilvl="6">
      <w:start w:val="0"/>
      <w:numFmt w:val="bullet"/>
      <w:lvlText w:val="•"/>
      <w:lvlJc w:val="left"/>
      <w:pPr>
        <w:ind w:left="5807" w:hanging="708"/>
      </w:pPr>
      <w:rPr/>
    </w:lvl>
    <w:lvl w:ilvl="7">
      <w:start w:val="0"/>
      <w:numFmt w:val="bullet"/>
      <w:lvlText w:val="•"/>
      <w:lvlJc w:val="left"/>
      <w:pPr>
        <w:ind w:left="6611" w:hanging="707.9999999999991"/>
      </w:pPr>
      <w:rPr/>
    </w:lvl>
    <w:lvl w:ilvl="8">
      <w:start w:val="0"/>
      <w:numFmt w:val="bullet"/>
      <w:lvlText w:val="•"/>
      <w:lvlJc w:val="left"/>
      <w:pPr>
        <w:ind w:left="7416" w:hanging="707.9999999999991"/>
      </w:pPr>
      <w:rPr/>
    </w:lvl>
  </w:abstractNum>
  <w:abstractNum w:abstractNumId="5">
    <w:lvl w:ilvl="0">
      <w:start w:val="10"/>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sz w:val="22"/>
        <w:szCs w:val="22"/>
      </w:rPr>
    </w:lvl>
    <w:lvl w:ilvl="2">
      <w:start w:val="0"/>
      <w:numFmt w:val="bullet"/>
      <w:lvlText w:val="•"/>
      <w:lvlJc w:val="left"/>
      <w:pPr>
        <w:ind w:left="2589" w:hanging="720.0000000000002"/>
      </w:pPr>
      <w:rPr/>
    </w:lvl>
    <w:lvl w:ilvl="3">
      <w:start w:val="0"/>
      <w:numFmt w:val="bullet"/>
      <w:lvlText w:val="•"/>
      <w:lvlJc w:val="left"/>
      <w:pPr>
        <w:ind w:left="3393" w:hanging="720"/>
      </w:pPr>
      <w:rPr/>
    </w:lvl>
    <w:lvl w:ilvl="4">
      <w:start w:val="0"/>
      <w:numFmt w:val="bullet"/>
      <w:lvlText w:val="•"/>
      <w:lvlJc w:val="left"/>
      <w:pPr>
        <w:ind w:left="4198" w:hanging="720"/>
      </w:pPr>
      <w:rPr/>
    </w:lvl>
    <w:lvl w:ilvl="5">
      <w:start w:val="0"/>
      <w:numFmt w:val="bullet"/>
      <w:lvlText w:val="•"/>
      <w:lvlJc w:val="left"/>
      <w:pPr>
        <w:ind w:left="5002" w:hanging="720"/>
      </w:pPr>
      <w:rPr/>
    </w:lvl>
    <w:lvl w:ilvl="6">
      <w:start w:val="0"/>
      <w:numFmt w:val="bullet"/>
      <w:lvlText w:val="•"/>
      <w:lvlJc w:val="left"/>
      <w:pPr>
        <w:ind w:left="5807" w:hanging="720"/>
      </w:pPr>
      <w:rPr/>
    </w:lvl>
    <w:lvl w:ilvl="7">
      <w:start w:val="0"/>
      <w:numFmt w:val="bullet"/>
      <w:lvlText w:val="•"/>
      <w:lvlJc w:val="left"/>
      <w:pPr>
        <w:ind w:left="6611" w:hanging="720"/>
      </w:pPr>
      <w:rPr/>
    </w:lvl>
    <w:lvl w:ilvl="8">
      <w:start w:val="0"/>
      <w:numFmt w:val="bullet"/>
      <w:lvlText w:val="•"/>
      <w:lvlJc w:val="left"/>
      <w:pPr>
        <w:ind w:left="7416" w:hanging="720"/>
      </w:pPr>
      <w:rPr/>
    </w:lvl>
  </w:abstractNum>
  <w:abstractNum w:abstractNumId="6">
    <w:lvl w:ilvl="0">
      <w:start w:val="9"/>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sz w:val="22"/>
        <w:szCs w:val="22"/>
      </w:rPr>
    </w:lvl>
    <w:lvl w:ilvl="2">
      <w:start w:val="1"/>
      <w:numFmt w:val="decimal"/>
      <w:lvlText w:val="%1.%2.%3."/>
      <w:lvlJc w:val="left"/>
      <w:pPr>
        <w:ind w:left="1730" w:hanging="720"/>
      </w:pPr>
      <w:rPr>
        <w:rFonts w:ascii="Times New Roman" w:cs="Times New Roman" w:eastAsia="Times New Roman" w:hAnsi="Times New Roman"/>
        <w:sz w:val="22"/>
        <w:szCs w:val="22"/>
      </w:rPr>
    </w:lvl>
    <w:lvl w:ilvl="3">
      <w:start w:val="0"/>
      <w:numFmt w:val="bullet"/>
      <w:lvlText w:val="•"/>
      <w:lvlJc w:val="left"/>
      <w:pPr>
        <w:ind w:left="3359" w:hanging="720"/>
      </w:pPr>
      <w:rPr/>
    </w:lvl>
    <w:lvl w:ilvl="4">
      <w:start w:val="0"/>
      <w:numFmt w:val="bullet"/>
      <w:lvlText w:val="•"/>
      <w:lvlJc w:val="left"/>
      <w:pPr>
        <w:ind w:left="4168" w:hanging="720"/>
      </w:pPr>
      <w:rPr/>
    </w:lvl>
    <w:lvl w:ilvl="5">
      <w:start w:val="0"/>
      <w:numFmt w:val="bullet"/>
      <w:lvlText w:val="•"/>
      <w:lvlJc w:val="left"/>
      <w:pPr>
        <w:ind w:left="4978" w:hanging="720"/>
      </w:pPr>
      <w:rPr/>
    </w:lvl>
    <w:lvl w:ilvl="6">
      <w:start w:val="0"/>
      <w:numFmt w:val="bullet"/>
      <w:lvlText w:val="•"/>
      <w:lvlJc w:val="left"/>
      <w:pPr>
        <w:ind w:left="5787" w:hanging="720"/>
      </w:pPr>
      <w:rPr/>
    </w:lvl>
    <w:lvl w:ilvl="7">
      <w:start w:val="0"/>
      <w:numFmt w:val="bullet"/>
      <w:lvlText w:val="•"/>
      <w:lvlJc w:val="left"/>
      <w:pPr>
        <w:ind w:left="6597" w:hanging="720"/>
      </w:pPr>
      <w:rPr/>
    </w:lvl>
    <w:lvl w:ilvl="8">
      <w:start w:val="0"/>
      <w:numFmt w:val="bullet"/>
      <w:lvlText w:val="•"/>
      <w:lvlJc w:val="left"/>
      <w:pPr>
        <w:ind w:left="7406" w:hanging="720"/>
      </w:pPr>
      <w:rPr/>
    </w:lvl>
  </w:abstractNum>
  <w:abstractNum w:abstractNumId="7">
    <w:lvl w:ilvl="0">
      <w:start w:val="8"/>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sz w:val="22"/>
        <w:szCs w:val="22"/>
      </w:rPr>
    </w:lvl>
    <w:lvl w:ilvl="2">
      <w:start w:val="0"/>
      <w:numFmt w:val="bullet"/>
      <w:lvlText w:val="•"/>
      <w:lvlJc w:val="left"/>
      <w:pPr>
        <w:ind w:left="2589" w:hanging="720.0000000000002"/>
      </w:pPr>
      <w:rPr/>
    </w:lvl>
    <w:lvl w:ilvl="3">
      <w:start w:val="0"/>
      <w:numFmt w:val="bullet"/>
      <w:lvlText w:val="•"/>
      <w:lvlJc w:val="left"/>
      <w:pPr>
        <w:ind w:left="3393" w:hanging="720"/>
      </w:pPr>
      <w:rPr/>
    </w:lvl>
    <w:lvl w:ilvl="4">
      <w:start w:val="0"/>
      <w:numFmt w:val="bullet"/>
      <w:lvlText w:val="•"/>
      <w:lvlJc w:val="left"/>
      <w:pPr>
        <w:ind w:left="4198" w:hanging="720"/>
      </w:pPr>
      <w:rPr/>
    </w:lvl>
    <w:lvl w:ilvl="5">
      <w:start w:val="0"/>
      <w:numFmt w:val="bullet"/>
      <w:lvlText w:val="•"/>
      <w:lvlJc w:val="left"/>
      <w:pPr>
        <w:ind w:left="5002" w:hanging="720"/>
      </w:pPr>
      <w:rPr/>
    </w:lvl>
    <w:lvl w:ilvl="6">
      <w:start w:val="0"/>
      <w:numFmt w:val="bullet"/>
      <w:lvlText w:val="•"/>
      <w:lvlJc w:val="left"/>
      <w:pPr>
        <w:ind w:left="5807" w:hanging="720"/>
      </w:pPr>
      <w:rPr/>
    </w:lvl>
    <w:lvl w:ilvl="7">
      <w:start w:val="0"/>
      <w:numFmt w:val="bullet"/>
      <w:lvlText w:val="•"/>
      <w:lvlJc w:val="left"/>
      <w:pPr>
        <w:ind w:left="6611" w:hanging="720"/>
      </w:pPr>
      <w:rPr/>
    </w:lvl>
    <w:lvl w:ilvl="8">
      <w:start w:val="0"/>
      <w:numFmt w:val="bullet"/>
      <w:lvlText w:val="•"/>
      <w:lvlJc w:val="left"/>
      <w:pPr>
        <w:ind w:left="7416" w:hanging="720"/>
      </w:pPr>
      <w:rPr/>
    </w:lvl>
  </w:abstractNum>
  <w:abstractNum w:abstractNumId="8">
    <w:lvl w:ilvl="0">
      <w:start w:val="7"/>
      <w:numFmt w:val="decimal"/>
      <w:lvlText w:val="%1"/>
      <w:lvlJc w:val="left"/>
      <w:pPr>
        <w:ind w:left="969" w:hanging="707.9999999999999"/>
      </w:pPr>
      <w:rPr/>
    </w:lvl>
    <w:lvl w:ilvl="1">
      <w:start w:val="3"/>
      <w:numFmt w:val="decimal"/>
      <w:lvlText w:val="%1.%2"/>
      <w:lvlJc w:val="left"/>
      <w:pPr>
        <w:ind w:left="969" w:hanging="707.9999999999999"/>
      </w:pPr>
      <w:rPr>
        <w:rFonts w:ascii="Times New Roman" w:cs="Times New Roman" w:eastAsia="Times New Roman" w:hAnsi="Times New Roman"/>
        <w:sz w:val="22"/>
        <w:szCs w:val="22"/>
      </w:rPr>
    </w:lvl>
    <w:lvl w:ilvl="2">
      <w:start w:val="1"/>
      <w:numFmt w:val="lowerLetter"/>
      <w:lvlText w:val="%3)"/>
      <w:lvlJc w:val="left"/>
      <w:pPr>
        <w:ind w:left="2385" w:hanging="708"/>
      </w:pPr>
      <w:rPr>
        <w:rFonts w:ascii="Times New Roman" w:cs="Times New Roman" w:eastAsia="Times New Roman" w:hAnsi="Times New Roman"/>
        <w:sz w:val="22"/>
        <w:szCs w:val="22"/>
      </w:rPr>
    </w:lvl>
    <w:lvl w:ilvl="3">
      <w:start w:val="0"/>
      <w:numFmt w:val="bullet"/>
      <w:lvlText w:val="•"/>
      <w:lvlJc w:val="left"/>
      <w:pPr>
        <w:ind w:left="3856" w:hanging="708"/>
      </w:pPr>
      <w:rPr/>
    </w:lvl>
    <w:lvl w:ilvl="4">
      <w:start w:val="0"/>
      <w:numFmt w:val="bullet"/>
      <w:lvlText w:val="•"/>
      <w:lvlJc w:val="left"/>
      <w:pPr>
        <w:ind w:left="4595" w:hanging="708"/>
      </w:pPr>
      <w:rPr/>
    </w:lvl>
    <w:lvl w:ilvl="5">
      <w:start w:val="0"/>
      <w:numFmt w:val="bullet"/>
      <w:lvlText w:val="•"/>
      <w:lvlJc w:val="left"/>
      <w:pPr>
        <w:ind w:left="5333" w:hanging="708.0000000000009"/>
      </w:pPr>
      <w:rPr/>
    </w:lvl>
    <w:lvl w:ilvl="6">
      <w:start w:val="0"/>
      <w:numFmt w:val="bullet"/>
      <w:lvlText w:val="•"/>
      <w:lvlJc w:val="left"/>
      <w:pPr>
        <w:ind w:left="6071" w:hanging="707.9999999999991"/>
      </w:pPr>
      <w:rPr/>
    </w:lvl>
    <w:lvl w:ilvl="7">
      <w:start w:val="0"/>
      <w:numFmt w:val="bullet"/>
      <w:lvlText w:val="•"/>
      <w:lvlJc w:val="left"/>
      <w:pPr>
        <w:ind w:left="6810" w:hanging="708"/>
      </w:pPr>
      <w:rPr/>
    </w:lvl>
    <w:lvl w:ilvl="8">
      <w:start w:val="0"/>
      <w:numFmt w:val="bullet"/>
      <w:lvlText w:val="•"/>
      <w:lvlJc w:val="left"/>
      <w:pPr>
        <w:ind w:left="7548" w:hanging="708"/>
      </w:pPr>
      <w:rPr/>
    </w:lvl>
  </w:abstractNum>
  <w:abstractNum w:abstractNumId="9">
    <w:lvl w:ilvl="0">
      <w:start w:val="0"/>
      <w:numFmt w:val="bullet"/>
      <w:lvlText w:val="●"/>
      <w:lvlJc w:val="left"/>
      <w:pPr>
        <w:ind w:left="1680" w:hanging="358"/>
      </w:pPr>
      <w:rPr>
        <w:rFonts w:ascii="Noto Sans Symbols" w:cs="Noto Sans Symbols" w:eastAsia="Noto Sans Symbols" w:hAnsi="Noto Sans Symbols"/>
        <w:sz w:val="22"/>
        <w:szCs w:val="22"/>
      </w:rPr>
    </w:lvl>
    <w:lvl w:ilvl="1">
      <w:start w:val="0"/>
      <w:numFmt w:val="bullet"/>
      <w:lvlText w:val="●"/>
      <w:lvlJc w:val="left"/>
      <w:pPr>
        <w:ind w:left="1680" w:hanging="262"/>
      </w:pPr>
      <w:rPr>
        <w:rFonts w:ascii="Noto Sans Symbols" w:cs="Noto Sans Symbols" w:eastAsia="Noto Sans Symbols" w:hAnsi="Noto Sans Symbols"/>
        <w:sz w:val="22"/>
        <w:szCs w:val="22"/>
      </w:rPr>
    </w:lvl>
    <w:lvl w:ilvl="2">
      <w:start w:val="0"/>
      <w:numFmt w:val="bullet"/>
      <w:lvlText w:val="•"/>
      <w:lvlJc w:val="left"/>
      <w:pPr>
        <w:ind w:left="3149" w:hanging="262"/>
      </w:pPr>
      <w:rPr/>
    </w:lvl>
    <w:lvl w:ilvl="3">
      <w:start w:val="0"/>
      <w:numFmt w:val="bullet"/>
      <w:lvlText w:val="•"/>
      <w:lvlJc w:val="left"/>
      <w:pPr>
        <w:ind w:left="3883" w:hanging="262"/>
      </w:pPr>
      <w:rPr/>
    </w:lvl>
    <w:lvl w:ilvl="4">
      <w:start w:val="0"/>
      <w:numFmt w:val="bullet"/>
      <w:lvlText w:val="•"/>
      <w:lvlJc w:val="left"/>
      <w:pPr>
        <w:ind w:left="4618" w:hanging="262"/>
      </w:pPr>
      <w:rPr/>
    </w:lvl>
    <w:lvl w:ilvl="5">
      <w:start w:val="0"/>
      <w:numFmt w:val="bullet"/>
      <w:lvlText w:val="•"/>
      <w:lvlJc w:val="left"/>
      <w:pPr>
        <w:ind w:left="5352" w:hanging="261.9999999999991"/>
      </w:pPr>
      <w:rPr/>
    </w:lvl>
    <w:lvl w:ilvl="6">
      <w:start w:val="0"/>
      <w:numFmt w:val="bullet"/>
      <w:lvlText w:val="•"/>
      <w:lvlJc w:val="left"/>
      <w:pPr>
        <w:ind w:left="6087" w:hanging="262"/>
      </w:pPr>
      <w:rPr/>
    </w:lvl>
    <w:lvl w:ilvl="7">
      <w:start w:val="0"/>
      <w:numFmt w:val="bullet"/>
      <w:lvlText w:val="•"/>
      <w:lvlJc w:val="left"/>
      <w:pPr>
        <w:ind w:left="6821" w:hanging="262"/>
      </w:pPr>
      <w:rPr/>
    </w:lvl>
    <w:lvl w:ilvl="8">
      <w:start w:val="0"/>
      <w:numFmt w:val="bullet"/>
      <w:lvlText w:val="•"/>
      <w:lvlJc w:val="left"/>
      <w:pPr>
        <w:ind w:left="7556" w:hanging="262"/>
      </w:pPr>
      <w:rPr/>
    </w:lvl>
  </w:abstractNum>
  <w:abstractNum w:abstractNumId="10">
    <w:lvl w:ilvl="0">
      <w:start w:val="7"/>
      <w:numFmt w:val="decimal"/>
      <w:lvlText w:val="%1"/>
      <w:lvlJc w:val="left"/>
      <w:pPr>
        <w:ind w:left="981" w:hanging="720"/>
      </w:pPr>
      <w:rPr/>
    </w:lvl>
    <w:lvl w:ilvl="1">
      <w:start w:val="1"/>
      <w:numFmt w:val="decimal"/>
      <w:lvlText w:val="%1.%2."/>
      <w:lvlJc w:val="left"/>
      <w:pPr>
        <w:ind w:left="981" w:hanging="720"/>
      </w:pPr>
      <w:rPr>
        <w:rFonts w:ascii="Verdana" w:cs="Verdana" w:eastAsia="Verdana" w:hAnsi="Verdana"/>
        <w:sz w:val="22"/>
        <w:szCs w:val="22"/>
      </w:rPr>
    </w:lvl>
    <w:lvl w:ilvl="2">
      <w:start w:val="0"/>
      <w:numFmt w:val="bullet"/>
      <w:lvlText w:val="●"/>
      <w:lvlJc w:val="left"/>
      <w:pPr>
        <w:ind w:left="1680" w:hanging="262"/>
      </w:pPr>
      <w:rPr>
        <w:rFonts w:ascii="Noto Sans Symbols" w:cs="Noto Sans Symbols" w:eastAsia="Noto Sans Symbols" w:hAnsi="Noto Sans Symbols"/>
        <w:sz w:val="22"/>
        <w:szCs w:val="22"/>
      </w:rPr>
    </w:lvl>
    <w:lvl w:ilvl="3">
      <w:start w:val="0"/>
      <w:numFmt w:val="bullet"/>
      <w:lvlText w:val="•"/>
      <w:lvlJc w:val="left"/>
      <w:pPr>
        <w:ind w:left="3312" w:hanging="262"/>
      </w:pPr>
      <w:rPr/>
    </w:lvl>
    <w:lvl w:ilvl="4">
      <w:start w:val="0"/>
      <w:numFmt w:val="bullet"/>
      <w:lvlText w:val="•"/>
      <w:lvlJc w:val="left"/>
      <w:pPr>
        <w:ind w:left="4128" w:hanging="262"/>
      </w:pPr>
      <w:rPr/>
    </w:lvl>
    <w:lvl w:ilvl="5">
      <w:start w:val="0"/>
      <w:numFmt w:val="bullet"/>
      <w:lvlText w:val="•"/>
      <w:lvlJc w:val="left"/>
      <w:pPr>
        <w:ind w:left="4944" w:hanging="262"/>
      </w:pPr>
      <w:rPr/>
    </w:lvl>
    <w:lvl w:ilvl="6">
      <w:start w:val="0"/>
      <w:numFmt w:val="bullet"/>
      <w:lvlText w:val="•"/>
      <w:lvlJc w:val="left"/>
      <w:pPr>
        <w:ind w:left="5760" w:hanging="262"/>
      </w:pPr>
      <w:rPr/>
    </w:lvl>
    <w:lvl w:ilvl="7">
      <w:start w:val="0"/>
      <w:numFmt w:val="bullet"/>
      <w:lvlText w:val="•"/>
      <w:lvlJc w:val="left"/>
      <w:pPr>
        <w:ind w:left="6577" w:hanging="262"/>
      </w:pPr>
      <w:rPr/>
    </w:lvl>
    <w:lvl w:ilvl="8">
      <w:start w:val="0"/>
      <w:numFmt w:val="bullet"/>
      <w:lvlText w:val="•"/>
      <w:lvlJc w:val="left"/>
      <w:pPr>
        <w:ind w:left="7393" w:hanging="262.0000000000009"/>
      </w:pPr>
      <w:rPr/>
    </w:lvl>
  </w:abstractNum>
  <w:abstractNum w:abstractNumId="11">
    <w:lvl w:ilvl="0">
      <w:start w:val="5"/>
      <w:numFmt w:val="decimal"/>
      <w:lvlText w:val="%1"/>
      <w:lvlJc w:val="left"/>
      <w:pPr>
        <w:ind w:left="969" w:hanging="707.9999999999999"/>
      </w:pPr>
      <w:rPr/>
    </w:lvl>
    <w:lvl w:ilvl="1">
      <w:start w:val="1"/>
      <w:numFmt w:val="decimal"/>
      <w:lvlText w:val="%1.%2."/>
      <w:lvlJc w:val="left"/>
      <w:pPr>
        <w:ind w:left="969" w:hanging="707.9999999999999"/>
      </w:pPr>
      <w:rPr>
        <w:rFonts w:ascii="Times New Roman" w:cs="Times New Roman" w:eastAsia="Times New Roman" w:hAnsi="Times New Roman"/>
        <w:b w:val="0"/>
        <w:sz w:val="22"/>
        <w:szCs w:val="22"/>
      </w:rPr>
    </w:lvl>
    <w:lvl w:ilvl="2">
      <w:start w:val="1"/>
      <w:numFmt w:val="decimal"/>
      <w:lvlText w:val="%1.%2.%3."/>
      <w:lvlJc w:val="left"/>
      <w:pPr>
        <w:ind w:left="1680" w:hanging="754"/>
      </w:pPr>
      <w:rPr>
        <w:rFonts w:ascii="Times New Roman" w:cs="Times New Roman" w:eastAsia="Times New Roman" w:hAnsi="Times New Roman"/>
        <w:sz w:val="22"/>
        <w:szCs w:val="22"/>
      </w:rPr>
    </w:lvl>
    <w:lvl w:ilvl="3">
      <w:start w:val="0"/>
      <w:numFmt w:val="bullet"/>
      <w:lvlText w:val="•"/>
      <w:lvlJc w:val="left"/>
      <w:pPr>
        <w:ind w:left="3312" w:hanging="754"/>
      </w:pPr>
      <w:rPr/>
    </w:lvl>
    <w:lvl w:ilvl="4">
      <w:start w:val="0"/>
      <w:numFmt w:val="bullet"/>
      <w:lvlText w:val="•"/>
      <w:lvlJc w:val="left"/>
      <w:pPr>
        <w:ind w:left="4128" w:hanging="754"/>
      </w:pPr>
      <w:rPr/>
    </w:lvl>
    <w:lvl w:ilvl="5">
      <w:start w:val="0"/>
      <w:numFmt w:val="bullet"/>
      <w:lvlText w:val="•"/>
      <w:lvlJc w:val="left"/>
      <w:pPr>
        <w:ind w:left="4944" w:hanging="754"/>
      </w:pPr>
      <w:rPr/>
    </w:lvl>
    <w:lvl w:ilvl="6">
      <w:start w:val="0"/>
      <w:numFmt w:val="bullet"/>
      <w:lvlText w:val="•"/>
      <w:lvlJc w:val="left"/>
      <w:pPr>
        <w:ind w:left="5760" w:hanging="754"/>
      </w:pPr>
      <w:rPr/>
    </w:lvl>
    <w:lvl w:ilvl="7">
      <w:start w:val="0"/>
      <w:numFmt w:val="bullet"/>
      <w:lvlText w:val="•"/>
      <w:lvlJc w:val="left"/>
      <w:pPr>
        <w:ind w:left="6577" w:hanging="753.9999999999991"/>
      </w:pPr>
      <w:rPr/>
    </w:lvl>
    <w:lvl w:ilvl="8">
      <w:start w:val="0"/>
      <w:numFmt w:val="bullet"/>
      <w:lvlText w:val="•"/>
      <w:lvlJc w:val="left"/>
      <w:pPr>
        <w:ind w:left="7393" w:hanging="75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s-ES_tradnl"/>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61"/>
    </w:pPr>
    <w:rPr>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Verdana" w:cs="Verdana" w:eastAsia="Verdana" w:hAnsi="Verdana"/>
    </w:rPr>
  </w:style>
  <w:style w:type="paragraph" w:styleId="Ttulo1">
    <w:name w:val="heading 1"/>
    <w:basedOn w:val="Normal"/>
    <w:uiPriority w:val="1"/>
    <w:qFormat w:val="1"/>
    <w:pPr>
      <w:ind w:left="261"/>
      <w:outlineLvl w:val="0"/>
    </w:pPr>
    <w:rPr>
      <w:b w:val="1"/>
      <w:bCs w:val="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link w:val="TextoindependienteCar"/>
    <w:uiPriority w:val="1"/>
    <w:qFormat w:val="1"/>
  </w:style>
  <w:style w:type="paragraph" w:styleId="Prrafodelista">
    <w:name w:val="List Paragraph"/>
    <w:basedOn w:val="Normal"/>
    <w:uiPriority w:val="1"/>
    <w:qFormat w:val="1"/>
    <w:pPr>
      <w:ind w:left="981" w:right="255" w:hanging="720"/>
      <w:jc w:val="both"/>
    </w:pPr>
  </w:style>
  <w:style w:type="paragraph" w:styleId="TableParagraph" w:customStyle="1">
    <w:name w:val="Table Paragraph"/>
    <w:basedOn w:val="Normal"/>
    <w:uiPriority w:val="1"/>
    <w:qFormat w:val="1"/>
  </w:style>
  <w:style w:type="paragraph" w:styleId="Encabezado">
    <w:name w:val="header"/>
    <w:basedOn w:val="Normal"/>
    <w:link w:val="EncabezadoCar"/>
    <w:uiPriority w:val="99"/>
    <w:unhideWhenUsed w:val="1"/>
    <w:rsid w:val="00F46243"/>
    <w:pPr>
      <w:tabs>
        <w:tab w:val="center" w:pos="4252"/>
        <w:tab w:val="right" w:pos="8504"/>
      </w:tabs>
    </w:pPr>
  </w:style>
  <w:style w:type="character" w:styleId="EncabezadoCar" w:customStyle="1">
    <w:name w:val="Encabezado Car"/>
    <w:basedOn w:val="Fuentedeprrafopredeter"/>
    <w:link w:val="Encabezado"/>
    <w:uiPriority w:val="99"/>
    <w:rsid w:val="00F46243"/>
    <w:rPr>
      <w:rFonts w:ascii="Verdana" w:cs="Verdana" w:eastAsia="Verdana" w:hAnsi="Verdana"/>
    </w:rPr>
  </w:style>
  <w:style w:type="paragraph" w:styleId="Piedepgina">
    <w:name w:val="footer"/>
    <w:basedOn w:val="Normal"/>
    <w:link w:val="PiedepginaCar"/>
    <w:uiPriority w:val="99"/>
    <w:unhideWhenUsed w:val="1"/>
    <w:rsid w:val="00F46243"/>
    <w:pPr>
      <w:tabs>
        <w:tab w:val="center" w:pos="4252"/>
        <w:tab w:val="right" w:pos="8504"/>
      </w:tabs>
    </w:pPr>
  </w:style>
  <w:style w:type="character" w:styleId="PiedepginaCar" w:customStyle="1">
    <w:name w:val="Pie de página Car"/>
    <w:basedOn w:val="Fuentedeprrafopredeter"/>
    <w:link w:val="Piedepgina"/>
    <w:uiPriority w:val="99"/>
    <w:rsid w:val="00F46243"/>
    <w:rPr>
      <w:rFonts w:ascii="Verdana" w:cs="Verdana" w:eastAsia="Verdana" w:hAnsi="Verdana"/>
    </w:rPr>
  </w:style>
  <w:style w:type="paragraph" w:styleId="Textodeglobo">
    <w:name w:val="Balloon Text"/>
    <w:basedOn w:val="Normal"/>
    <w:link w:val="TextodegloboCar"/>
    <w:uiPriority w:val="99"/>
    <w:semiHidden w:val="1"/>
    <w:unhideWhenUsed w:val="1"/>
    <w:rsid w:val="00F46243"/>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F46243"/>
    <w:rPr>
      <w:rFonts w:ascii="Lucida Grande" w:cs="Lucida Grande" w:eastAsia="Verdana" w:hAnsi="Lucida Grande"/>
      <w:sz w:val="18"/>
      <w:szCs w:val="18"/>
    </w:rPr>
  </w:style>
  <w:style w:type="character" w:styleId="TextoindependienteCar" w:customStyle="1">
    <w:name w:val="Texto independiente Car"/>
    <w:basedOn w:val="Fuentedeprrafopredeter"/>
    <w:link w:val="Textoindependiente"/>
    <w:uiPriority w:val="1"/>
    <w:rsid w:val="00F2140C"/>
    <w:rPr>
      <w:rFonts w:ascii="Verdana" w:cs="Verdana" w:eastAsia="Verdana" w:hAnsi="Verdan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4.xml"/><Relationship Id="rId13" Type="http://schemas.openxmlformats.org/officeDocument/2006/relationships/header" Target="header5.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footer" Target="footer2.xml"/><Relationship Id="rId14" Type="http://schemas.openxmlformats.org/officeDocument/2006/relationships/header" Target="header6.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9XlVlPVxAnkkUgfW3EQX2j3WOg==">CgMxLjAyCGguZ2pkZ3hzMg5oLjkzb2NyMXV5Nmg1MjIOaC5iOGE0dzV0bTU5cWQ4AHIhMXlEUjdDVzR6V0gxZ29IaGowUEtZN25kelR1eEx0eVl6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2023-06-23T07:38:00Z</dcterms:created>
  <dc:creator>Salinero Fort.Miguel Angel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2019-04-03T00:00:00Z</vt:filetime>
  </property>
  <property fmtid="{D5CDD505-2E9C-101B-9397-08002B2CF9AE}" pid="3" name="Creator">
    <vt:lpwstr>Microsoft Word - 2.Modelo Contrato Ensayos Clínicos.doc</vt:lpwstr>
  </property>
  <property fmtid="{D5CDD505-2E9C-101B-9397-08002B2CF9AE}" pid="4" name="LastSaved">
    <vt:filetime>2019-05-03T00:00:00Z</vt:filetime>
  </property>
</Properties>
</file>