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before="6" w:lineRule="auto"/>
        <w:rPr>
          <w:rFonts w:ascii="Times New Roman" w:cs="Times New Roman" w:eastAsia="Times New Roman" w:hAnsi="Times New Roman"/>
          <w:sz w:val="18"/>
          <w:szCs w:val="18"/>
        </w:rPr>
      </w:pPr>
      <w:bookmarkStart w:colFirst="0" w:colLast="0" w:name="_heading=h.93ocr1uy6h52" w:id="1"/>
      <w:bookmarkEnd w:id="1"/>
      <w:r w:rsidDel="00000000" w:rsidR="00000000" w:rsidRPr="00000000">
        <w:rPr>
          <w:rtl w:val="0"/>
        </w:rPr>
      </w:r>
    </w:p>
    <w:tbl>
      <w:tblPr>
        <w:tblStyle w:val="Table1"/>
        <w:tblW w:w="90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30"/>
        <w:tblGridChange w:id="0">
          <w:tblGrid>
            <w:gridCol w:w="9030"/>
          </w:tblGrid>
        </w:tblGridChange>
      </w:tblGrid>
      <w:tr>
        <w:trPr>
          <w:cantSplit w:val="0"/>
          <w:trHeight w:val="1403.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CONTRATO PARA LA REALIZACIÓN DEL ENSAYO CLÍNICO ‘’    ’’</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i w:val="1"/>
                <w:sz w:val="18"/>
                <w:szCs w:val="18"/>
              </w:rPr>
            </w:pPr>
            <w:r w:rsidDel="00000000" w:rsidR="00000000" w:rsidRPr="00000000">
              <w:rPr>
                <w:rFonts w:ascii="Times New Roman" w:cs="Times New Roman" w:eastAsia="Times New Roman" w:hAnsi="Times New Roman"/>
                <w:i w:val="1"/>
                <w:rtl w:val="0"/>
              </w:rPr>
              <w:t xml:space="preserve">Nº EUDRACT:                                  Código de Protocolo:                 Código de la Fundación:</w:t>
            </w:r>
            <w:r w:rsidDel="00000000" w:rsidR="00000000" w:rsidRPr="00000000">
              <w:rPr>
                <w:rtl w:val="0"/>
              </w:rPr>
            </w:r>
          </w:p>
        </w:tc>
      </w:tr>
    </w:tbl>
    <w:p w:rsidR="00000000" w:rsidDel="00000000" w:rsidP="00000000" w:rsidRDefault="00000000" w:rsidRPr="00000000" w14:paraId="00000008">
      <w:pPr>
        <w:spacing w:before="6"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08"/>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Majadahonda, 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(fecha)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pStyle w:val="Heading1"/>
        <w:spacing w:before="101" w:lineRule="auto"/>
        <w:ind w:left="3768"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REUNIDOS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una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 ….. respectivamente actuando en nombre  y  representación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calle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encontrándose facultados para este acto en virtud de escritura de poder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debidamente  inscrita  en  el  Registro  Mercantil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otorgada ante el Notario del Ilustre Colegio de</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fecha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spacing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una  parte, D.</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(nombre del  representante  legal  de  la CRO)</w:t>
      </w:r>
      <w:r w:rsidDel="00000000" w:rsidR="00000000" w:rsidRPr="00000000">
        <w:rPr>
          <w:rFonts w:ascii="Times New Roman" w:cs="Times New Roman" w:eastAsia="Times New Roman" w:hAnsi="Times New Roman"/>
          <w:rtl w:val="0"/>
        </w:rPr>
        <w:t xml:space="preserve">, con como representante legal 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(nombre de la CRO) </w:t>
      </w:r>
      <w:r w:rsidDel="00000000" w:rsidR="00000000" w:rsidRPr="00000000">
        <w:rPr>
          <w:rFonts w:ascii="Times New Roman" w:cs="Times New Roman" w:eastAsia="Times New Roman" w:hAnsi="Times New Roman"/>
          <w:rtl w:val="0"/>
        </w:rPr>
        <w:t xml:space="preserve">y con domicilio social en</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(dirección completa de la CRO) </w:t>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i w:val="1"/>
          <w:rtl w:val="0"/>
        </w:rPr>
        <w:t xml:space="preserve">(población y código postal)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CRO</w:t>
      </w:r>
      <w:r w:rsidDel="00000000" w:rsidR="00000000" w:rsidRPr="00000000">
        <w:rPr>
          <w:rFonts w:ascii="Times New Roman" w:cs="Times New Roman" w:eastAsia="Times New Roman" w:hAnsi="Times New Roman"/>
          <w:rtl w:val="0"/>
        </w:rPr>
        <w:t xml:space="preserve">), actuando en nombre y representación del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i w:val="1"/>
          <w:u w:val="single"/>
          <w:rtl w:val="0"/>
        </w:rPr>
        <w:t xml:space="preserve">       </w:t>
      </w:r>
      <w:r w:rsidDel="00000000" w:rsidR="00000000" w:rsidRPr="00000000">
        <w:rPr>
          <w:rFonts w:ascii="Times New Roman" w:cs="Times New Roman" w:eastAsia="Times New Roman" w:hAnsi="Times New Roman"/>
          <w:i w:val="1"/>
          <w:rtl w:val="0"/>
        </w:rPr>
        <w:t xml:space="preserve"> (nombre completo, domicilio y CIF de la entidad PROMOTORA – laboratorio farmacéutico, sociedad científica, persona jurídica-), (</w:t>
      </w:r>
      <w:r w:rsidDel="00000000" w:rsidR="00000000" w:rsidRPr="00000000">
        <w:rPr>
          <w:rFonts w:ascii="Times New Roman" w:cs="Times New Roman" w:eastAsia="Times New Roman" w:hAnsi="Times New Roman"/>
          <w:rtl w:val="0"/>
        </w:rPr>
        <w:t xml:space="preserve">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autorizado al efecto, conforme a los poderes expedidos en </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 con fecha</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ante el notario D. </w:t>
      </w:r>
      <w:r w:rsidDel="00000000" w:rsidR="00000000" w:rsidRPr="00000000">
        <w:rPr>
          <w:rFonts w:ascii="Times New Roman" w:cs="Times New Roman" w:eastAsia="Times New Roman" w:hAnsi="Times New Roman"/>
          <w:u w:val="single"/>
          <w:rtl w:val="0"/>
        </w:rPr>
        <w:t xml:space="preserve">     </w:t>
      </w:r>
      <w:r w:rsidDel="00000000" w:rsidR="00000000" w:rsidRPr="00000000">
        <w:rPr>
          <w:rtl w:val="0"/>
        </w:rPr>
      </w:r>
    </w:p>
    <w:p w:rsidR="00000000" w:rsidDel="00000000" w:rsidP="00000000" w:rsidRDefault="00000000" w:rsidRPr="00000000" w14:paraId="00000011">
      <w:pPr>
        <w:spacing w:line="276" w:lineRule="auto"/>
        <w:ind w:left="261" w:right="255"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line="276" w:lineRule="auto"/>
        <w:ind w:left="261" w:right="255"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 eximiendo de  la responsabilidad que le compete al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según el RD 1090/2015, de 4 de diciembre, por el que se regulan los ensayos clínicos con medicamentos, los Comités de Ética de la Investigación con medicamentos y el Registro Español de Estudios Clínicos, (en adelante RD 1090/2015, de 4 de diciembre).</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24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PARA LA</w:t>
        <w:tab/>
        <w:t xml:space="preserve">INVESTIGACIÓN BIOMÉDICA DEL HOSPITAL UNIVERSITARIO PUERTA DE HIERRO MAJADAHONDA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1" w:right="24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tabs>
          <w:tab w:val="left" w:leader="none" w:pos="8776"/>
        </w:tabs>
        <w:spacing w:before="91" w:line="276" w:lineRule="auto"/>
        <w:ind w:left="261" w:right="254"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De otra parte, Dña. Almudena Santano Magariño, actuando en nombre y representación del </w:t>
      </w:r>
      <w:r w:rsidDel="00000000" w:rsidR="00000000" w:rsidRPr="00000000">
        <w:rPr>
          <w:rFonts w:ascii="Times New Roman" w:cs="Times New Roman" w:eastAsia="Times New Roman" w:hAnsi="Times New Roman"/>
          <w:b w:val="1"/>
          <w:rtl w:val="0"/>
        </w:rPr>
        <w:t xml:space="preserve">HOSPITAL UNIVERSITARIO INFANTA CRISTINA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con domicilio social en Avda. 9 de junio, 28981 de Parla, en calidad de Directora Gerente del mismo tras el Acuerdo del Consejo de Administración del Servicio Madrileño de Salud, de 5 de julio de 2024, mediante el que se acordó su nombramiento y en virtud de las facultades que ostenta delegadas por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w:t>
      </w:r>
      <w:r w:rsidDel="00000000" w:rsidR="00000000" w:rsidRPr="00000000">
        <w:rPr>
          <w:rFonts w:ascii="Arial" w:cs="Arial" w:eastAsia="Arial" w:hAnsi="Arial"/>
          <w:color w:val="222222"/>
          <w:highlight w:val="whit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76"/>
        </w:tabs>
        <w:spacing w:after="0" w:before="91" w:line="276" w:lineRule="auto"/>
        <w:ind w:left="261" w:right="254"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54"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otra parte 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actuando en su propio nombre y derecho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 domicilio, a efectos de notificaciones, en el Servicio _ del HOSPITAL situado en </w:t>
      </w:r>
      <w:r w:rsidDel="00000000" w:rsidR="00000000" w:rsidRPr="00000000">
        <w:rPr>
          <w:rFonts w:ascii="Times New Roman" w:cs="Times New Roman" w:eastAsia="Times New Roman" w:hAnsi="Times New Roman"/>
          <w:rtl w:val="0"/>
        </w:rPr>
        <w:t xml:space="preserve">Avda. 9 de junio, 28981 de Parla, (Madrid).</w:t>
      </w: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61"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Reconociéndose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mutua necesaria para obligarse por el presente Contrato (en adelante,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1"/>
        <w:spacing w:before="23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EXPONEN</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spacing w:line="278.00000000000006" w:lineRule="auto"/>
        <w:ind w:left="261" w:right="258"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Que el </w:t>
      </w:r>
      <w:r w:rsidDel="00000000" w:rsidR="00000000" w:rsidRPr="00000000">
        <w:rPr>
          <w:rFonts w:ascii="Times New Roman" w:cs="Times New Roman" w:eastAsia="Times New Roman" w:hAnsi="Times New Roman"/>
          <w:b w:val="1"/>
          <w:i w:val="1"/>
          <w:rtl w:val="0"/>
        </w:rPr>
        <w:t xml:space="preserve">PROMOTOR </w:t>
      </w:r>
      <w:r w:rsidDel="00000000" w:rsidR="00000000" w:rsidRPr="00000000">
        <w:rPr>
          <w:rFonts w:ascii="Times New Roman" w:cs="Times New Roman" w:eastAsia="Times New Roman" w:hAnsi="Times New Roman"/>
          <w:rtl w:val="0"/>
        </w:rPr>
        <w:t xml:space="preserve">está interesado en la realización del </w:t>
      </w:r>
      <w:r w:rsidDel="00000000" w:rsidR="00000000" w:rsidRPr="00000000">
        <w:rPr>
          <w:rFonts w:ascii="Times New Roman" w:cs="Times New Roman" w:eastAsia="Times New Roman" w:hAnsi="Times New Roman"/>
          <w:b w:val="1"/>
          <w:rtl w:val="0"/>
        </w:rPr>
        <w:t xml:space="preserve">ENSAYO  CLÍNICO </w:t>
      </w:r>
      <w:r w:rsidDel="00000000" w:rsidR="00000000" w:rsidRPr="00000000">
        <w:rPr>
          <w:rFonts w:ascii="Times New Roman" w:cs="Times New Roman" w:eastAsia="Times New Roman" w:hAnsi="Times New Roman"/>
          <w:rtl w:val="0"/>
        </w:rPr>
        <w:t xml:space="preserve">descrito en la cláusula primera del Contrato</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1F">
      <w:pPr>
        <w:spacing w:line="278.00000000000006" w:lineRule="auto"/>
        <w:ind w:left="261" w:right="258"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i w:val="1"/>
          <w:rtl w:val="0"/>
        </w:rPr>
        <w:t xml:space="preserve">[Ajustar según situación concreta]</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261"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como representante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podrá efectuar los pagos en su nombre.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61"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dispuesto en sus Estatutos tiene atribuida como función el desarrollo de la investigación, innovación y la gestión del conocimiento, inspirados en el principio de legalidad, los principios éticos y la deontología profesional, del que forman parte la gestión de los ensayos clínicos que se llevan a cabo en el HOSPITAL. Por otra parte la Fundación, conforme a lo dispuesto en el vigente Convenio con el SERMAS, tiene entre otros compromisos, la gestión de los ensayos clínicos que se llevan a cabo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1" w:line="276" w:lineRule="auto"/>
        <w:ind w:left="261"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Basándose en lo anteriormente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deciden formalizar el presente Contrato, de acuerdo a las siguientes:</w:t>
      </w:r>
    </w:p>
    <w:p w:rsidR="00000000" w:rsidDel="00000000" w:rsidP="00000000" w:rsidRDefault="00000000" w:rsidRPr="00000000" w14:paraId="00000024">
      <w:pPr>
        <w:pStyle w:val="Heading1"/>
        <w:spacing w:before="231" w:lineRule="auto"/>
        <w:ind w:left="3770"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CLÁUSULAS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ind w:left="261"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u w:val="single"/>
          <w:rtl w:val="0"/>
        </w:rPr>
        <w:t xml:space="preserve">PRIMERA</w:t>
      </w:r>
      <w:r w:rsidDel="00000000" w:rsidR="00000000" w:rsidRPr="00000000">
        <w:rPr>
          <w:rFonts w:ascii="Times New Roman" w:cs="Times New Roman" w:eastAsia="Times New Roman" w:hAnsi="Times New Roman"/>
          <w:b w:val="1"/>
          <w:rtl w:val="0"/>
        </w:rPr>
        <w:t xml:space="preserve">.- OBJETO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spacing w:before="91" w:line="276" w:lineRule="auto"/>
        <w:ind w:left="261" w:right="255"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El objeto del presente Contrato es la realización del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cuyo título es (en adelante </w:t>
      </w:r>
      <w:r w:rsidDel="00000000" w:rsidR="00000000" w:rsidRPr="00000000">
        <w:rPr>
          <w:rFonts w:ascii="Times New Roman" w:cs="Times New Roman" w:eastAsia="Times New Roman" w:hAnsi="Times New Roman"/>
          <w:b w:val="1"/>
          <w:rtl w:val="0"/>
        </w:rPr>
        <w:t xml:space="preserve">ENSAYO</w:t>
      </w:r>
      <w:r w:rsidDel="00000000" w:rsidR="00000000" w:rsidRPr="00000000">
        <w:rPr>
          <w:rFonts w:ascii="Times New Roman" w:cs="Times New Roman" w:eastAsia="Times New Roman" w:hAnsi="Times New Roman"/>
          <w:rtl w:val="0"/>
        </w:rPr>
        <w:t xml:space="preserve">) con código de protocolo</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que se llevará a cabo en las dependencias del </w:t>
      </w:r>
      <w:r w:rsidDel="00000000" w:rsidR="00000000" w:rsidRPr="00000000">
        <w:rPr>
          <w:rFonts w:ascii="Times New Roman" w:cs="Times New Roman" w:eastAsia="Times New Roman" w:hAnsi="Times New Roman"/>
          <w:b w:val="1"/>
          <w:rtl w:val="0"/>
        </w:rPr>
        <w:t xml:space="preserve">HOSPITAL, </w:t>
      </w:r>
      <w:r w:rsidDel="00000000" w:rsidR="00000000" w:rsidRPr="00000000">
        <w:rPr>
          <w:rFonts w:ascii="Times New Roman" w:cs="Times New Roman" w:eastAsia="Times New Roman" w:hAnsi="Times New Roman"/>
          <w:rtl w:val="0"/>
        </w:rPr>
        <w:t xml:space="preserve">sin perjuicio de que por razones organizativas, alguna técnica o visita pueda realizarse en una dependencia ajena, identificadas en el Anexo I del presente contrato, bajo la dirección y responsabilidad del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del mismo. El </w:t>
      </w:r>
      <w:r w:rsidDel="00000000" w:rsidR="00000000" w:rsidRPr="00000000">
        <w:rPr>
          <w:rFonts w:ascii="Times New Roman" w:cs="Times New Roman" w:eastAsia="Times New Roman" w:hAnsi="Times New Roman"/>
          <w:b w:val="1"/>
          <w:rtl w:val="0"/>
        </w:rPr>
        <w:t xml:space="preserve">ENSAYO </w:t>
      </w:r>
      <w:r w:rsidDel="00000000" w:rsidR="00000000" w:rsidRPr="00000000">
        <w:rPr>
          <w:rFonts w:ascii="Times New Roman" w:cs="Times New Roman" w:eastAsia="Times New Roman" w:hAnsi="Times New Roman"/>
          <w:rtl w:val="0"/>
        </w:rPr>
        <w:t xml:space="preserve">se realizará de acuerdo al contenido especificado en el </w:t>
      </w:r>
      <w:r w:rsidDel="00000000" w:rsidR="00000000" w:rsidRPr="00000000">
        <w:rPr>
          <w:rFonts w:ascii="Times New Roman" w:cs="Times New Roman" w:eastAsia="Times New Roman" w:hAnsi="Times New Roman"/>
          <w:b w:val="1"/>
          <w:rtl w:val="0"/>
        </w:rPr>
        <w:t xml:space="preserve">PROTOCOLO</w:t>
      </w:r>
      <w:r w:rsidDel="00000000" w:rsidR="00000000" w:rsidRPr="00000000">
        <w:rPr>
          <w:rFonts w:ascii="Times New Roman" w:cs="Times New Roman" w:eastAsia="Times New Roman" w:hAnsi="Times New Roman"/>
          <w:rtl w:val="0"/>
        </w:rPr>
        <w:t xml:space="preserve">, de versión y fecha coincidentes con las recogidas en el dictamen favorable actualizado del Comité de Ética de la Investigación con Medicamentos (en adelante </w:t>
      </w:r>
      <w:r w:rsidDel="00000000" w:rsidR="00000000" w:rsidRPr="00000000">
        <w:rPr>
          <w:rFonts w:ascii="Times New Roman" w:cs="Times New Roman" w:eastAsia="Times New Roman" w:hAnsi="Times New Roman"/>
          <w:b w:val="1"/>
          <w:rtl w:val="0"/>
        </w:rPr>
        <w:t xml:space="preserve">CEIm</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29">
      <w:pPr>
        <w:pStyle w:val="Heading1"/>
        <w:tabs>
          <w:tab w:val="left" w:leader="none" w:pos="1874"/>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SEGUNDA</w:t>
      </w:r>
      <w:r w:rsidDel="00000000" w:rsidR="00000000" w:rsidRPr="00000000">
        <w:rPr>
          <w:rFonts w:ascii="Times New Roman" w:cs="Times New Roman" w:eastAsia="Times New Roman" w:hAnsi="Times New Roman"/>
          <w:rtl w:val="0"/>
        </w:rPr>
        <w:t xml:space="preserve">.- INICIO Y DURACIÓN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presente Contrato entrará en vigor el día de su firma y estará vigente hasta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ello sin perjuicio de lo establecido en la Cláusula Novena. A estos efectos, no se entenderá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hasta que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hayan cumplido todas sus obligaciones derivadas del presente Contrato.</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iniciará bajo ningún concepto hasta que se haya emitido el dictamen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correspondiente y la preceptiva autorización de la Agencia Española de Medicamentos y Productos Sanitarios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los términos del Real Decreto 1090/2015, y de cualquier otra autorización que, en su caso, fuera requerida por la legislación aplicable. La eficacia del presente contrato, queda supeditada a la obtención de las referidas autorizaciones.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numPr>
          <w:ilvl w:val="1"/>
          <w:numId w:val="3"/>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4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7" w:type="default"/>
          <w:headerReference r:id="rId8" w:type="first"/>
          <w:pgSz w:h="16840" w:w="11910" w:orient="portrait"/>
          <w:pgMar w:bottom="1240" w:top="1480" w:left="1440" w:right="1440" w:header="317" w:footer="1017"/>
          <w:pgNumType w:start="1"/>
          <w:titlePg w:val="1"/>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duración prevista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es de        meses, según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tl w:val="0"/>
        </w:rPr>
      </w:r>
    </w:p>
    <w:p w:rsidR="00000000" w:rsidDel="00000000" w:rsidP="00000000" w:rsidRDefault="00000000" w:rsidRPr="00000000" w14:paraId="00000030">
      <w:pPr>
        <w:tabs>
          <w:tab w:val="left" w:leader="none" w:pos="981"/>
          <w:tab w:val="left" w:leader="none" w:pos="982"/>
          <w:tab w:val="left" w:leader="none" w:pos="6660"/>
        </w:tabs>
        <w:spacing w:before="101" w:line="276"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TERCERA</w:t>
      </w:r>
      <w:r w:rsidDel="00000000" w:rsidR="00000000" w:rsidRPr="00000000">
        <w:rPr>
          <w:rFonts w:ascii="Times New Roman" w:cs="Times New Roman" w:eastAsia="Times New Roman" w:hAnsi="Times New Roman"/>
          <w:rtl w:val="0"/>
        </w:rPr>
        <w:t xml:space="preserve">.- NORMATIVA APLICABLE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981"/>
          <w:tab w:val="left" w:leader="none" w:pos="982"/>
        </w:tabs>
        <w:spacing w:after="0" w:before="0" w:line="240" w:lineRule="auto"/>
        <w:ind w:left="981" w:right="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Legislación sobre ensayos clínicos:</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67" w:right="0" w:firstLine="1351"/>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00" w:top="1480" w:left="1440" w:right="1440" w:header="720" w:footer="720"/>
          <w:cols w:equalWidth="0" w:num="2">
            <w:col w:space="2" w:w="4514"/>
            <w:col w:space="0" w:w="4514"/>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10/2013, de 24 de julio, por la que se incorporan al ordenamiento jurídico español las Directivas 2010/84/UE del Parlamento Europeo y del Consejo, de 15 de diciembre de 2010, sobre farmacovigilancia, y 2011/62/UE del parlamento Europeo y del Consejo, de 8 de junio de 2011, sobre prevención de la entrada de medicamentos falsificados en la cadena de suministro legal, y se modifica la Ley 29/2006, de 26 de julio, de garantías y uso racional de los medicamentos y productos sanitarios . Real Decreto Legislativo 01/2015, de 24 de julio, por el que se aprueba el texto refundido de la Ley de garantías y uso racional de los medicamentos y productos sanitarios. Real Decreto 1090/2015 de 4 de diciembre, por el que se regulan los ensayos clínicos con medicamentos, los Comités de Ética de la Investigación con Medicamentos y el Registro Español de Estudios Clínicos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1090/2015).</w:t>
      </w:r>
    </w:p>
    <w:p w:rsidR="00000000" w:rsidDel="00000000" w:rsidP="00000000" w:rsidRDefault="00000000" w:rsidRPr="00000000" w14:paraId="00000037">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 Decreto 1015/2009, de 19 de junio, por el que se regula la disponibilidad de medicamentos en situaciones especiales.</w:t>
      </w:r>
    </w:p>
    <w:p w:rsidR="00000000" w:rsidDel="00000000" w:rsidP="00000000" w:rsidRDefault="00000000" w:rsidRPr="00000000" w14:paraId="00000038">
      <w:pPr>
        <w:keepNext w:val="0"/>
        <w:keepLines w:val="0"/>
        <w:pageBreakBefore w:val="0"/>
        <w:widowControl w:val="0"/>
        <w:numPr>
          <w:ilvl w:val="2"/>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1756" w:right="255" w:hanging="74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Decreto 39/1994, de 28 de abril, por el que se regulan las competencias de la Comunidad de Madrid en materia de ensayos clínicos con medicamentos.</w:t>
      </w:r>
    </w:p>
    <w:p w:rsidR="00000000" w:rsidDel="00000000" w:rsidP="00000000" w:rsidRDefault="00000000" w:rsidRPr="00000000" w14:paraId="00000039">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y la Ley Orgánica 3/2018, de 5 de diciembre, de Protección de Datos Personales y garantía de los derechos digitales, así como el resto de la normativa vigente en materia de protección de datos de carácter personal que pudiera resultar de aplicación.</w:t>
      </w:r>
    </w:p>
    <w:p w:rsidR="00000000" w:rsidDel="00000000" w:rsidP="00000000" w:rsidRDefault="00000000" w:rsidRPr="00000000" w14:paraId="0000003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41/2002, de 14 de noviembre, básica reguladora de la autonomía del paciente y de derechos y obligaciones en materia de información y documentación clínica.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directa o indirectamente y especialmente siempre que se vayan a utilizar con fines de investigación biomédica una vez finalizado el ensayo.</w:t>
      </w:r>
    </w:p>
    <w:p w:rsidR="00000000" w:rsidDel="00000000" w:rsidP="00000000" w:rsidRDefault="00000000" w:rsidRPr="00000000" w14:paraId="0000003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1/1998, de 2 de marzo, de Fundaciones de la Comunidad de Madrid. De acuerdo con el artículo 23, los patronos podrán contratar con la Fundación, ya sea en nombre propio o de un tercero, previa autorización del Protectorado de Fundaciones.</w:t>
      </w:r>
    </w:p>
    <w:p w:rsidR="00000000" w:rsidDel="00000000" w:rsidP="00000000" w:rsidRDefault="00000000" w:rsidRPr="00000000" w14:paraId="0000003E">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Ley 53/1984, de 26 de diciembre, de incompatibilidades del personal al servicio de las Administraciones Públicas y Real Decreto 598/1985, de 30 de abril, sobre incompatibilidades del personal al servicio de la Administración del Estado, de la Seguridad Social y de los Entes, Organismos y Empresas dependientes.</w:t>
      </w:r>
    </w:p>
    <w:p w:rsidR="00000000" w:rsidDel="00000000" w:rsidP="00000000" w:rsidRDefault="00000000" w:rsidRPr="00000000" w14:paraId="0000003F">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ICH (International Conference of Harmonization Guideline) para la Buena Práctica Clínica (BPC): GCP E6(R2).</w:t>
      </w:r>
    </w:p>
    <w:p w:rsidR="00000000" w:rsidDel="00000000" w:rsidP="00000000" w:rsidRDefault="00000000" w:rsidRPr="00000000" w14:paraId="00000040">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Principios éticos básicos establecidos en las recomendaciones internacionalmente aceptadas, incluida la Declaración de Helsinki en su versión actualizada.</w:t>
      </w:r>
    </w:p>
    <w:p w:rsidR="00000000" w:rsidDel="00000000" w:rsidP="00000000" w:rsidRDefault="00000000" w:rsidRPr="00000000" w14:paraId="00000041">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normas deontológicas y la legislación anticorrupción nacional e internacional, contenida en la Convención de la OCDE, adoptada el 21 de noviembre de 1997, también recogida en la Ley de Prácticas Corruptas en el Extranjero (FCPA), que pueda ser aplicable a una o a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este contrato.</w:t>
      </w:r>
    </w:p>
    <w:p w:rsidR="00000000" w:rsidDel="00000000" w:rsidP="00000000" w:rsidRDefault="00000000" w:rsidRPr="00000000" w14:paraId="00000042">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Sin perjuicio de lo expuesto,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en todo momento a respetar y cumplir la legislación aplicable a la firma de este Contrato y durante su vigencia. Si en el desarrollo del mismo se modificara la normativa pertinente, se entenderá automáticamente aplicada al citado Contrato, salvo que la correspondiente norma establezca un régimen transitorio de aplicación distinto.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757"/>
        </w:tabs>
        <w:spacing w:after="0" w:before="100" w:line="276" w:lineRule="auto"/>
        <w:ind w:left="981"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pStyle w:val="Heading1"/>
        <w:tabs>
          <w:tab w:val="left" w:leader="none" w:pos="1943"/>
        </w:tabs>
        <w:spacing w:before="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CUARTA</w:t>
      </w:r>
      <w:r w:rsidDel="00000000" w:rsidR="00000000" w:rsidRPr="00000000">
        <w:rPr>
          <w:rFonts w:ascii="Times New Roman" w:cs="Times New Roman" w:eastAsia="Times New Roman" w:hAnsi="Times New Roman"/>
          <w:rtl w:val="0"/>
        </w:rPr>
        <w:t xml:space="preserve">.- OBLIGACIONES DE LAS PARTES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01" w:line="276" w:lineRule="auto"/>
        <w:ind w:left="1010" w:right="260"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vienen obligadas a la completa ejecución de las prestaciones previstas en el presente Contrato, de conformidad con lo recogido en el mismo y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0"/>
          <w:tab w:val="left" w:leader="none" w:pos="1011"/>
        </w:tabs>
        <w:spacing w:after="0" w:before="0" w:line="240" w:lineRule="auto"/>
        <w:ind w:left="1010" w:right="0"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Además, son obligaciones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Colaborar en las visitas de seguimiento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se realicen por parte de: (1)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 los monitores y auditores que actúen a instancias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(3) las autoridades competentes, cuando realicen actuaciones de inspección. Estas visitas, excepto las de inspección, serán comunicadas con una antelación mínima de una semana, salvo que exista acuerdo de otro plazo entre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Durante la realización de dichas visitas de seguimiento, monitorización y auditorias, se adoptarán las medidas de índole técnico u organizativo que garanticen el máximo respeto de la normativa sobre protección de datos de carácter personal.</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1756"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Observar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los monitores y auditores las normas de régimen interno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 serán facilitadas por estas entidades, así como las indicaciones que sobre el desarrollo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realice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responsable de su seguimiento.</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2"/>
          <w:numId w:val="1"/>
        </w:numPr>
        <w:pBdr>
          <w:top w:space="0" w:sz="0" w:val="nil"/>
          <w:left w:space="0" w:sz="0" w:val="nil"/>
          <w:bottom w:space="0" w:sz="0" w:val="nil"/>
          <w:right w:space="0" w:sz="0" w:val="nil"/>
          <w:between w:space="0" w:sz="0" w:val="nil"/>
        </w:pBdr>
        <w:shd w:fill="auto" w:val="clear"/>
        <w:tabs>
          <w:tab w:val="left" w:leader="none" w:pos="1757"/>
        </w:tabs>
        <w:spacing w:after="0" w:before="0" w:line="276" w:lineRule="auto"/>
        <w:ind w:left="1756"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podrán pactar entre ellas ni con terceros ajenos al presente documento, con relación a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acuerdos o términos ajenos a este que dificulten, maticen, excepcionen, contravengan o impidan el cumplimiento de las respectivas obligaciones asumidas o que supongan la asunción de otras contrarias a la normativa aplicable. A estos efectos, cada 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manifiesta que a fecha de este Contrato no son parte en ningún acuerdo o pacto que contemple alguno de los acuerdos o términos referidos anteriormente. En particular, en virtud de esta Cláusula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aceptan que no podrá acordarse ni pagarse contraprestaciones de cualquier tipo distintas de las previstas en este Contrato. Se excluyen de esta prohibición los gastos para reuniones celebradas con la finalidad de organizar y supervisar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para analizar o dar a conocer los resultados del mismo (presentaciones o publicaciones científicas).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4"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 obligaciones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además de las previstas en la normativa aplicable, el dar continuo apoyo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proporcionar a este y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nueva información de relevancia que se suscite sobre el medicamento en investigación.</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 obligación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gestión económica del presente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recibiendo esta los pagos realizados por cuenta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distribuyéndolos de conformidad con lo previsto en el Anexo I.</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 a custodiar los códigos de identificación de los sujetos incluidos.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y el HOSPITAL, en función de sus responsabilidades,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a conservar los documentos esenciales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durante el tiempo y en las condiciones establecidas en la legislación vigente.</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numPr>
          <w:ilvl w:val="1"/>
          <w:numId w:val="1"/>
        </w:numPr>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hanging="74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Corresponde igualmente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selección de los miembros del equipo investigador y del personal de apoyo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 podrá estar formado tanto por personas físicas como por entidades mercantiles o de otra índole, que cuenten con medios materiales y humanos apropiados para la ejecución del mismo. </w:t>
      </w:r>
      <w:r w:rsidDel="00000000" w:rsidR="00000000" w:rsidRPr="00000000">
        <w:rPr>
          <w:rFonts w:ascii="Times New Roman" w:cs="Times New Roman" w:eastAsia="Times New Roman" w:hAnsi="Times New Roman"/>
          <w:rtl w:val="0"/>
        </w:rPr>
        <w:t xml:space="preserve">Se adjunta Anexo II en el que se detalla la relación de integrantes del equipo investigador en el momento de la firma del presente contrato.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variación en el equipo investigador deberá comunicarse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acuerdo con la normativa vigente.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11"/>
        </w:tabs>
        <w:spacing w:after="0" w:before="1" w:line="276" w:lineRule="auto"/>
        <w:ind w:left="101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pStyle w:val="Heading1"/>
        <w:tabs>
          <w:tab w:val="left" w:leader="none" w:pos="1943"/>
        </w:tabs>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QUINTA</w:t>
      </w:r>
      <w:r w:rsidDel="00000000" w:rsidR="00000000" w:rsidRPr="00000000">
        <w:rPr>
          <w:rFonts w:ascii="Times New Roman" w:cs="Times New Roman" w:eastAsia="Times New Roman" w:hAnsi="Times New Roman"/>
          <w:rtl w:val="0"/>
        </w:rPr>
        <w:t xml:space="preserve">.- ASPECTOS ECONÓMICOS</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2345"/>
          <w:tab w:val="left" w:leader="none" w:pos="2747"/>
          <w:tab w:val="left" w:leader="none" w:pos="4053"/>
          <w:tab w:val="left" w:leader="none" w:pos="4514"/>
          <w:tab w:val="left" w:leader="none" w:pos="6131"/>
          <w:tab w:val="left" w:leader="none" w:pos="6618"/>
          <w:tab w:val="left" w:leader="none" w:pos="8402"/>
          <w:tab w:val="left" w:leader="none" w:pos="8837"/>
        </w:tabs>
        <w:spacing w:after="0" w:before="101" w:line="276" w:lineRule="auto"/>
        <w:ind w:left="969" w:right="185" w:hanging="708"/>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de este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ha presupuestado inicialmente en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EUROS   IVA   no incluido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Presupuesto de 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conforme a lo establecido en la Memoria Económica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(Anexo I), en la que se especifican todos los aspectos económicos del mismo. Dicha cantidad no incluye en ningún caso una obligación o inducción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para recomendar, prescribir, comprar, usar o concertar el uso de ningún producto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spacing w:line="276" w:lineRule="auto"/>
        <w:ind w:left="969" w:right="253"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Adicionalmente, a la firma del presente contrato el </w:t>
      </w:r>
      <w:r w:rsidDel="00000000" w:rsidR="00000000" w:rsidRPr="00000000">
        <w:rPr>
          <w:rFonts w:ascii="Times New Roman" w:cs="Times New Roman" w:eastAsia="Times New Roman" w:hAnsi="Times New Roman"/>
          <w:b w:val="1"/>
          <w:rtl w:val="0"/>
        </w:rPr>
        <w:t xml:space="preserve">PROMOTOR </w:t>
      </w:r>
      <w:r w:rsidDel="00000000" w:rsidR="00000000" w:rsidRPr="00000000">
        <w:rPr>
          <w:rFonts w:ascii="Times New Roman" w:cs="Times New Roman" w:eastAsia="Times New Roman" w:hAnsi="Times New Roman"/>
          <w:rtl w:val="0"/>
        </w:rPr>
        <w:t xml:space="preserve">abonará la cantidad de 1.500 € euros (IVA no incluido), en pago único, no reembolsable, en concepto de gastos de gestión administrativa y contractual. </w:t>
      </w: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que deba abonar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durante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 determinado por aplicación del Anexo I y deberá satisfacerse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los pagos que se detallan a continuación:</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presupuesto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abonará, al menos, semestralmente conforme a lo que se detalla en el cuadro de importes por visita y sujeto reclutado incluido en el Anexo I, hasta el pago íntegro del importe que constituye tal Presupuesto. A los citados efectos,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mantendrán informada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semestralmente.</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7"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Estos pagos tienen la consideración de abonos a cuenta, dependientes de la liquidación del importe definitivo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importe definitivo que deba abonar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por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 determinado por razón de la actividad efectivamente realizada para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adelante,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Importe Definitivo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Importe Definitivo  se calculará de la forma siguiente:</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hanging="75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plazo máximo de (3) tres meses, a contar desde la terminación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y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comunicarán por escrito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número total de: (1) sujetos reclutados y evaluados, (2) visitas efectivamente realizadas, (3) incidencias producidas, así como (4) de cualquier prueba, análisis, exploración, consulta o estancia hospitalaria de carácter extraordinario que se haya producido, estén o no reflejadas en la Memoria Económica (Anexo I).</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1680"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numPr>
          <w:ilvl w:val="2"/>
          <w:numId w:val="11"/>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75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mayor brevedad, desde que haya tenido lugar la comunicación de la información a que se refiere el punto anterior,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calculará, emitirá y notificará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(elegir según proceda), mediante facturación final del ensayo, la liquidación del importe definitivo, así como en su caso, reclamará las cantidades pendientes de pago, que deberán ser abonadas en el plazo de un (1) mes, sin necesidad de ulterior requerimiento. Con la liquidación del pago final se entenderán concluidas las obligaciones económicas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10" w:line="276" w:lineRule="auto"/>
        <w:ind w:left="969" w:right="249"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Todos los pagos deberán efectuarse contra presentación de factura, a la que se le aplicará el IVA de acuerdo con la normativa aplicable en la fecha de emisión de la misma y a nombre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266"/>
        </w:tabs>
        <w:spacing w:after="0" w:before="1"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serán emitidas a: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644"/>
        </w:tabs>
        <w:spacing w:after="0" w:before="0" w:line="276" w:lineRule="auto"/>
        <w:ind w:left="969" w:right="25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emitidas serán abonadas por la siguiente pagadora, cuyos datos serán: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(NOTA: Si es necesario incluir un número de pedido u orden de compra en las facturas, es preciso indicarlo, así como el procedimiento para ser solicitado por la Fundación).</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facturas serán enviadas para su gestión a la siguiente dirección:</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69"/>
          <w:tab w:val="left" w:leader="none" w:pos="970"/>
          <w:tab w:val="left" w:leader="none" w:pos="1554"/>
          <w:tab w:val="left" w:leader="none" w:pos="2423"/>
          <w:tab w:val="left" w:leader="none" w:pos="2769"/>
          <w:tab w:val="left" w:leader="none" w:pos="3172"/>
          <w:tab w:val="left" w:leader="none" w:pos="4979"/>
          <w:tab w:val="left" w:leader="none" w:pos="5439"/>
          <w:tab w:val="left" w:leader="none" w:pos="6737"/>
          <w:tab w:val="left" w:leader="none" w:pos="7315"/>
        </w:tabs>
        <w:spacing w:after="0" w:before="101" w:line="276" w:lineRule="auto"/>
        <w:ind w:left="969" w:right="263"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pagos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se realizarán por transferencia bancaria, con los gastos a cargo del ordenante, a:</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Fundación para la Investigación Biomédica del Hospital Universitario Puerta de Hierro Majadahonda</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Entidad Bancaria: CAIXABANK</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Nº Cuenta: 2100 4065 18 2200092256</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IBAN: ES81 2100 4065 1822 0009 2256</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SWIFT: CAIXESBBXXX</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cente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7B">
      <w:pPr>
        <w:widowControl w:val="1"/>
        <w:ind w:left="885" w:firstLine="0"/>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i w:val="1"/>
          <w:rtl w:val="0"/>
        </w:rPr>
        <w:t xml:space="preserve">Las solicitudes de facturación del Promotor a la Fundación se enviarán a la dirección de correo electrónico: </w:t>
      </w:r>
      <w:hyperlink r:id="rId9">
        <w:r w:rsidDel="00000000" w:rsidR="00000000" w:rsidRPr="00000000">
          <w:rPr>
            <w:rFonts w:ascii="Times New Roman" w:cs="Times New Roman" w:eastAsia="Times New Roman" w:hAnsi="Times New Roman"/>
            <w:b w:val="1"/>
            <w:i w:val="1"/>
            <w:color w:val="0563c1"/>
            <w:u w:val="single"/>
            <w:rtl w:val="0"/>
          </w:rPr>
          <w:t xml:space="preserve">facturas.eecc@idiphim.org</w:t>
        </w:r>
      </w:hyperlink>
      <w:r w:rsidDel="00000000" w:rsidR="00000000" w:rsidRPr="00000000">
        <w:rPr>
          <w:rFonts w:ascii="Times New Roman" w:cs="Times New Roman" w:eastAsia="Times New Roman" w:hAnsi="Times New Roman"/>
          <w:b w:val="1"/>
          <w:i w:val="1"/>
          <w:rtl w:val="0"/>
        </w:rPr>
        <w:t xml:space="preserve"> </w:t>
      </w:r>
    </w:p>
    <w:p w:rsidR="00000000" w:rsidDel="00000000" w:rsidP="00000000" w:rsidRDefault="00000000" w:rsidRPr="00000000" w14:paraId="0000007C">
      <w:pPr>
        <w:widowControl w:val="1"/>
        <w:ind w:left="885" w:firstLine="0"/>
        <w:jc w:val="center"/>
        <w:rPr>
          <w:rFonts w:ascii="Times New Roman" w:cs="Times New Roman" w:eastAsia="Times New Roman" w:hAnsi="Times New Roman"/>
          <w:b w:val="1"/>
          <w:i w:val="1"/>
        </w:rPr>
      </w:pP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69" w:right="254"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pagos realizados por el </w:t>
      </w:r>
      <w:r w:rsidDel="00000000" w:rsidR="00000000" w:rsidRPr="00000000">
        <w:rPr>
          <w:rFonts w:ascii="Times New Roman" w:cs="Times New Roman" w:eastAsia="Times New Roman" w:hAnsi="Times New Roman"/>
          <w:b w:val="1"/>
          <w:i w:val="0"/>
          <w:smallCaps w:val="0"/>
          <w:strike w:val="0"/>
          <w:color w:val="000000"/>
          <w:sz w:val="22"/>
          <w:szCs w:val="22"/>
          <w:highlight w:val="yellow"/>
          <w:u w:val="none"/>
          <w:vertAlign w:val="baseline"/>
          <w:rtl w:val="0"/>
        </w:rPr>
        <w:t xml:space="preserve">PROMOTOR/CRO </w:t>
      </w:r>
      <w:r w:rsidDel="00000000" w:rsidR="00000000" w:rsidRPr="00000000">
        <w:rPr>
          <w:rFonts w:ascii="Times New Roman" w:cs="Times New Roman" w:eastAsia="Times New Roman" w:hAnsi="Times New Roman"/>
          <w:b w:val="0"/>
          <w:i w:val="0"/>
          <w:smallCaps w:val="0"/>
          <w:strike w:val="0"/>
          <w:color w:val="000000"/>
          <w:sz w:val="22"/>
          <w:szCs w:val="22"/>
          <w:highlight w:val="yellow"/>
          <w:u w:val="none"/>
          <w:vertAlign w:val="baseline"/>
          <w:rtl w:val="0"/>
        </w:rPr>
        <w:t xml:space="preserve">(elegir según proceda)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serán plenamente liberatorios para el primero, siendo responsabilidad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pago de las cantidades que, en su caso, correspondan a los investigadores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numPr>
          <w:ilvl w:val="1"/>
          <w:numId w:val="11"/>
        </w:numPr>
        <w:pBdr>
          <w:top w:space="0" w:sz="0" w:val="nil"/>
          <w:left w:space="0" w:sz="0" w:val="nil"/>
          <w:bottom w:space="0" w:sz="0" w:val="nil"/>
          <w:right w:space="0" w:sz="0" w:val="nil"/>
          <w:between w:space="0" w:sz="0" w:val="nil"/>
        </w:pBdr>
        <w:shd w:fill="auto" w:val="clear"/>
        <w:tabs>
          <w:tab w:val="left" w:leader="none" w:pos="970"/>
        </w:tabs>
        <w:spacing w:after="0" w:before="1" w:line="276" w:lineRule="auto"/>
        <w:ind w:left="969" w:right="257"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acuerdan que, si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carece del equipo necesario para realizar adecuadamente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 facilitará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manera gratuita cediendo su uso, directamente o a través de un tercero. Asimismo,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asumirá el coste y se encargará del suministro, instalación, mantenimiento, calibración y retirada del equipo, y de la formación del personal para su manejo, si fuera necesaria. En ningún caso serán responsables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ni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su mantenimiento, ni de su eventual pérdida.</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equipo constará de los siguientes componentes:</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4"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Equipo será siempre propiedad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de un tercero y llevará la identificación correspondiente en dicho sentido. El Equipo sólo deberá utilizarse para realizar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y al finalizar éste será devuelto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a un tercero sin coste alguno para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Cuando reciba una petición de devolución,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pondrá el Equipo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del tercero designado por éste para su recogida.</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ceder el Equipo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carácter gratuito, a cuyo efecto se formalizarán los documentos que fueran necesarios.</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caso de que se detectaran necesidades adicionales de equipamiento durante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con posterioridad a la firma del presente contrato,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deberán firmar una adenda que recoja el equipamiento puesto a disposición respetando las condiciones y términos indicados en los párrafos anteriores.</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pStyle w:val="Heading1"/>
        <w:tabs>
          <w:tab w:val="left" w:leader="none" w:pos="1466"/>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SEXTA</w:t>
      </w:r>
      <w:r w:rsidDel="00000000" w:rsidR="00000000" w:rsidRPr="00000000">
        <w:rPr>
          <w:rFonts w:ascii="Times New Roman" w:cs="Times New Roman" w:eastAsia="Times New Roman" w:hAnsi="Times New Roman"/>
          <w:rtl w:val="0"/>
        </w:rPr>
        <w:t xml:space="preserve">.-</w:t>
        <w:tab/>
        <w:t xml:space="preserve">SEGURO Y RESPONSABILIDADES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261"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tiene suscrita una póliza de seguro de responsabilidad civil que cumple en todos sus aspectos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Dicha póliza, nº</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 ha sido concertada con la entidad aseguradora</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está vigente al estar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corriente de pago de las primas. Dicha póliza incluye también en su ámbito de cobertura, y así lo explicita,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sus colaboradores y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adjunta copia de la póliza o certificado de la misma como ANEXO III).</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pStyle w:val="Heading1"/>
        <w:spacing w:before="1" w:line="278.00000000000006" w:lineRule="auto"/>
        <w:ind w:right="251" w:firstLine="261"/>
        <w:jc w:val="both"/>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SÉPTIMA</w:t>
      </w:r>
      <w:r w:rsidDel="00000000" w:rsidR="00000000" w:rsidRPr="00000000">
        <w:rPr>
          <w:rFonts w:ascii="Times New Roman" w:cs="Times New Roman" w:eastAsia="Times New Roman" w:hAnsi="Times New Roman"/>
          <w:rtl w:val="0"/>
        </w:rPr>
        <w:t xml:space="preserve">.- GARANTÍAS  DE  CONFIDENCIALIDAD  Y  PROTECCION DE DATOS DE CARÁCTER PERSONAL.</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CONFIDENCIALIDAD.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comprometen a poner todos los medios a su alcance para garantizar la confidencialidad de la información facilitada para la realización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obtenida durante su realización, así como la de los datos de carácter personal de los sujetos reclutados para el mismo, a fin de cumplir con todos los requisitos establecidos en la normativa vigente. Se exceptuará de este compromiso de confidencialidad aquella información que: (i) sea de dominio público, (ii) fuera conocida previamente por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el momento de ser revelada, o (iii) fuera obligatorio revelar por imperativo legal.</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0"/>
        <w:numPr>
          <w:ilvl w:val="1"/>
          <w:numId w:val="10"/>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4"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PROTECCION DE DATOS. Todas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en la medida en que traten datos de carácter personal de los sujetos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deberán tomar las medidas oportunas para protegerlos y evitar el acceso a los mismos por parte de terceros no autorizados.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quedan obligadas a la más estricta observancia de lo establecido en el Reglamento (UE) 2016/679 del Parlamento Europeo y del Consejo, de 27 de abril de 2016 y la Ley Orgánica 3/2018, de 5 de diciembre, de Protección de Datos Personales y garantía de los derechos digitales. Asimismo, dicha legislación será aplicable a los datos personales contenidos en el presente contrato. Si fuera preciso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formalizarán los acuerdos necesarios para garantizar el cumplimiento de dichas obligaciones legales.</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ind w:left="98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 el </w:t>
      </w:r>
      <w:r w:rsidDel="00000000" w:rsidR="00000000" w:rsidRPr="00000000">
        <w:rPr>
          <w:rFonts w:ascii="Times New Roman" w:cs="Times New Roman" w:eastAsia="Times New Roman" w:hAnsi="Times New Roman"/>
          <w:b w:val="1"/>
          <w:rtl w:val="0"/>
        </w:rPr>
        <w:t xml:space="preserve">INVESTIGADOR  PRINCIPAL  </w:t>
      </w:r>
      <w:r w:rsidDel="00000000" w:rsidR="00000000" w:rsidRPr="00000000">
        <w:rPr>
          <w:rFonts w:ascii="Times New Roman" w:cs="Times New Roman" w:eastAsia="Times New Roman" w:hAnsi="Times New Roman"/>
          <w:rtl w:val="0"/>
        </w:rPr>
        <w:t xml:space="preserve">y  la  </w:t>
      </w:r>
      <w:r w:rsidDel="00000000" w:rsidR="00000000" w:rsidRPr="00000000">
        <w:rPr>
          <w:rFonts w:ascii="Times New Roman" w:cs="Times New Roman" w:eastAsia="Times New Roman" w:hAnsi="Times New Roman"/>
          <w:b w:val="1"/>
          <w:rtl w:val="0"/>
        </w:rPr>
        <w:t xml:space="preserve">FUNDACIÓN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tratarán adecuadamente los datos personales de los sujetos que participen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forma que no puedan ser identificados por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procede). Únicamente accederán a datos personales de los sujetos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los que estos estén identificados, en la medida que lo permita el consentimiento informado  y  en  el  ejercicio  de  sus  funciones  profesionales,  los monitores y/o representantes designados por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CRO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 procede), auditores y autoridades competentes.</w:t>
      </w:r>
    </w:p>
    <w:p w:rsidR="00000000" w:rsidDel="00000000" w:rsidP="00000000" w:rsidRDefault="00000000" w:rsidRPr="00000000" w14:paraId="00000097">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PARTES firmantes del presente contrato, se obligan mutuamente a:</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numPr>
          <w:ilvl w:val="2"/>
          <w:numId w:val="10"/>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Acceder a los datos de carácter personal únicamente cuando sea imprescindible para el buen desarrollo del proyecto</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4"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Tratar los datos con la única finalidad de dar cumplimiento al objeto del contrato</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cualquiera de las partes considera que otra infringe el RGPD, la LOPDGDD,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Asumir la responsabilidad que corresponda en caso de que destine los datos otra finalidad distinta del cumplimiento del objeto del presente contrato, los comunique o los utilice incumpliendo las estipulaciones de la normativa vigente, respondiendo de las infracciones en que hubiera incurrido personalmente.</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permitir el acceso a los datos de carácter personal a ningún empleado de su responsabilidad que no tenga la necesidad de conocerlos para la prestación de los servicios.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4"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revelar, transferir, ceder o de otra forma comunicar los datos de carácter personal,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Mantendrá un registro de todas las categorías de actividades  de tratamiento efectuadas en cumplimiento del presente contrato, que contenga la información exigida por el artículo</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67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30.2 del RGPD y 31 de la LOPDGDD.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3" w:lineRule="auto"/>
        <w:ind w:left="1680" w:right="255"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40" w:top="1480" w:left="1440" w:right="1440" w:header="317" w:footer="101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Darse apoyo mutuamente en la realización de las evaluaciones de impacto relativas a la protección de datos, cuando proceda.</w:t>
      </w:r>
    </w:p>
    <w:p w:rsidR="00000000" w:rsidDel="00000000" w:rsidP="00000000" w:rsidRDefault="00000000" w:rsidRPr="00000000" w14:paraId="000000AC">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91" w:line="273"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Darse  apoyo  mutuamente  en  la  realización  de  las consultas previas a la Autoridad de Control, cuando proceda.</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2"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6" w:lineRule="auto"/>
        <w:ind w:left="1680" w:right="251"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Adoptar y aplicar las medidas de seguridad estipuladas en el presente contrato, conforme lo previsto en el artículo 32 del RGPD, que garanticen la seguridad de los datos de carácter personal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8"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Designar un delegado de protección de datos y comunicar su identidad y datos de contacto a la otra parte, así como cumplir con todo lo dispuesto en los artículos 37, 38 y 39 del RGPD, y 35 a 37 de la LOPDGDD.</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6"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1678"/>
        </w:tabs>
        <w:spacing w:after="0" w:before="0" w:line="276" w:lineRule="auto"/>
        <w:ind w:left="1680" w:right="255"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0"/>
        <w:numPr>
          <w:ilvl w:val="1"/>
          <w:numId w:val="9"/>
        </w:numPr>
        <w:pBdr>
          <w:top w:space="0" w:sz="0" w:val="nil"/>
          <w:left w:space="0" w:sz="0" w:val="nil"/>
          <w:bottom w:space="0" w:sz="0" w:val="nil"/>
          <w:right w:space="0" w:sz="0" w:val="nil"/>
          <w:between w:space="0" w:sz="0" w:val="nil"/>
        </w:pBdr>
        <w:shd w:fill="auto" w:val="clear"/>
        <w:tabs>
          <w:tab w:val="left" w:leader="none" w:pos="1678"/>
        </w:tabs>
        <w:spacing w:after="0" w:before="1" w:line="273" w:lineRule="auto"/>
        <w:ind w:left="1680" w:right="256" w:hanging="264.0000000000000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Supervisar el tratamiento y el cumplimiento de la normativa de protección de datos por la otra parte.</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6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5"/>
          <w:tab w:val="left" w:leader="none" w:pos="2386"/>
        </w:tabs>
        <w:spacing w:after="0" w:before="0" w:line="240" w:lineRule="auto"/>
        <w:ind w:left="2385" w:right="0"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seudonimización y el cifrado de datos personales;</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6"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6" w:lineRule="auto"/>
        <w:ind w:left="2385" w:right="253"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proceso de verificación, evaluación y valoración regulares de la eficacia de las medidas técnicas y organizativas para garantizar la seguridad del tratamiento.</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2"/>
          <w:numId w:val="8"/>
        </w:numPr>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hanging="708.0000000000001"/>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catálogo de medidas de seguridad reconocido en normativas o estándares de seguridad de la información.</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86"/>
        </w:tabs>
        <w:spacing w:after="0" w:before="0" w:line="278.00000000000006" w:lineRule="auto"/>
        <w:ind w:left="2385" w:right="258"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 Las partes permitirán y contribuirán a la realización de auditorías, incluidas inspecciones, a la otra parte.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969" w:right="257"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caso de violación de la seguridad de los datos personales en los sistemas de información utilizados por las partes para la prestación de los Servicios, deberán notificarse mutuamente, sin dilación indebida, y en cualquier caso antes del plazo máximo de 24 horas hábiles, las violaciones de la seguridad de los datos personales a su cargo de las que tengan conocimiento, juntamente con toda la información relevante para la documentación y comunicación de la incidencia conforme a lo dispuesto en el artículo 33.3 del RGPD.</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969"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tal caso, cada parte en la medida que le corresponda deberá comunicar las violaciones de seguridad de los datos a la Autoridad de Protección de Datos y/o a los interesados conforme a lo establecido en la normativa vigente.</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9"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numPr>
          <w:ilvl w:val="1"/>
          <w:numId w:val="8"/>
        </w:numPr>
        <w:pBdr>
          <w:top w:space="0" w:sz="0" w:val="nil"/>
          <w:left w:space="0" w:sz="0" w:val="nil"/>
          <w:bottom w:space="0" w:sz="0" w:val="nil"/>
          <w:right w:space="0" w:sz="0" w:val="nil"/>
          <w:between w:space="0" w:sz="0" w:val="nil"/>
        </w:pBdr>
        <w:shd w:fill="auto" w:val="clear"/>
        <w:tabs>
          <w:tab w:val="left" w:leader="none" w:pos="1011"/>
        </w:tabs>
        <w:spacing w:after="0" w:before="0" w:line="276" w:lineRule="auto"/>
        <w:ind w:left="969" w:right="254" w:hanging="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de carácter personal, dirigiéndose a los delegados de protección de datos de las PARTES:</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0" distR="0" hidden="0" layoutInCell="1" locked="0" relativeHeight="0" simplePos="0">
                <wp:simplePos x="0" y="0"/>
                <wp:positionH relativeFrom="column">
                  <wp:posOffset>647700</wp:posOffset>
                </wp:positionH>
                <wp:positionV relativeFrom="paragraph">
                  <wp:posOffset>139700</wp:posOffset>
                </wp:positionV>
                <wp:extent cx="0" cy="12700"/>
                <wp:effectExtent b="0" l="0" r="0" t="0"/>
                <wp:wrapTopAndBottom distB="0" distT="0"/>
                <wp:docPr id="942857916" name=""/>
                <a:graphic>
                  <a:graphicData uri="http://schemas.microsoft.com/office/word/2010/wordprocessingShape">
                    <wps:wsp>
                      <wps:cNvCnPr/>
                      <wps:spPr>
                        <a:xfrm>
                          <a:off x="5213285" y="3780000"/>
                          <a:ext cx="265430" cy="0"/>
                        </a:xfrm>
                        <a:prstGeom prst="straightConnector1">
                          <a:avLst/>
                        </a:prstGeom>
                        <a:noFill/>
                        <a:ln cap="flat" cmpd="sng" w="9525">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647700</wp:posOffset>
                </wp:positionH>
                <wp:positionV relativeFrom="paragraph">
                  <wp:posOffset>139700</wp:posOffset>
                </wp:positionV>
                <wp:extent cx="0" cy="12700"/>
                <wp:effectExtent b="0" l="0" r="0" t="0"/>
                <wp:wrapTopAndBottom distB="0" distT="0"/>
                <wp:docPr id="94285791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969"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(Incluir datos de contacto de los delegados de protección de datos de todas las PARTES, incluido el INVESTIGADOR PRINCIPAL).</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6"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PARTES podrán también presentar una reclamación ante la Agencia Española de Protección de Datos.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969" w:right="253"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alguna de las PARTES quisiera hacer una transferencia de Datos Personales de los firmantes fuera del Espacio Económico Europeo (EEE) o Suiza, se realizará solo cuando lo permita la legislación aplicable en el EEE, basándose en los mecanismos legales de transferencia y previa autorización del resto de las PARTES afectadas.</w:t>
      </w:r>
    </w:p>
    <w:p w:rsidR="00000000" w:rsidDel="00000000" w:rsidP="00000000" w:rsidRDefault="00000000" w:rsidRPr="00000000" w14:paraId="000000D3">
      <w:pPr>
        <w:pStyle w:val="Heading1"/>
        <w:tabs>
          <w:tab w:val="left" w:leader="none" w:pos="1881"/>
        </w:tabs>
        <w:spacing w:before="1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OCTAVA</w:t>
      </w:r>
      <w:r w:rsidDel="00000000" w:rsidR="00000000" w:rsidRPr="00000000">
        <w:rPr>
          <w:rFonts w:ascii="Times New Roman" w:cs="Times New Roman" w:eastAsia="Times New Roman" w:hAnsi="Times New Roman"/>
          <w:rtl w:val="0"/>
        </w:rPr>
        <w:t xml:space="preserve">.- MEDICAMENTOS EN INVESTIGACIÓN</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suministrará gratuitamente los medicamentos en investigación, incluidos los de comparación y placebos, en los términos que se establecen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879"/>
        </w:tabs>
        <w:spacing w:after="0" w:before="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medicamento en investigación será suministrado a través del Servicio de Farmacia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dispensándose de manera controlada y de conformidad con las directrices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se pondrá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HOSPITAL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ni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medicamento en investigación hasta que no se cuente con el informe favorable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la preceptiva autorización de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AEMPS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pStyle w:val="Heading1"/>
        <w:tabs>
          <w:tab w:val="left" w:leader="none" w:pos="1943"/>
          <w:tab w:val="left" w:leader="none" w:pos="8603"/>
        </w:tabs>
        <w:spacing w:before="91" w:line="276" w:lineRule="auto"/>
        <w:ind w:right="256"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NOVENA</w:t>
      </w:r>
      <w:r w:rsidDel="00000000" w:rsidR="00000000" w:rsidRPr="00000000">
        <w:rPr>
          <w:rFonts w:ascii="Times New Roman" w:cs="Times New Roman" w:eastAsia="Times New Roman" w:hAnsi="Times New Roman"/>
          <w:rtl w:val="0"/>
        </w:rPr>
        <w:t xml:space="preserve">.- MODIFICACIÓN,  CANCELACIÓN  O  SUSPENSIÓN Y  RESOLUCIÓN DEL CONTRATO.</w:t>
      </w:r>
    </w:p>
    <w:p w:rsidR="00000000" w:rsidDel="00000000" w:rsidP="00000000" w:rsidRDefault="00000000" w:rsidRPr="00000000" w14:paraId="000000DC">
      <w:pPr>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MODIFICACIÓN</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Cualquier modificación a lo previsto en este Contrato deberá realizarse por escrito y será firmada por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como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addendum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al mismo. En todo caso, en la modificación se observará lo previsto en el artículo 26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CANCELACIÓN O SUSPENSIÓN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ser cancelado o suspendido por 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en cualquiera de las situaciones previstas en el artículo 27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en los siguientes casos:</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60"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incumplimiento de las obligaciones esenciales asumidas por alguna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2"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incumplimiento o cumplimiento defectuoso de las restantes obligaciones asumidas por otra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siempre que tal incumplimiento no sea subsanado en el plazo de quince (15) días a contar desde que la otra Parte le intime por escrito el cumplimiento.</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numPr>
          <w:ilvl w:val="2"/>
          <w:numId w:val="6"/>
        </w:numPr>
        <w:pBdr>
          <w:top w:space="0" w:sz="0" w:val="nil"/>
          <w:left w:space="0" w:sz="0" w:val="nil"/>
          <w:bottom w:space="0" w:sz="0" w:val="nil"/>
          <w:right w:space="0" w:sz="0" w:val="nil"/>
          <w:between w:space="0" w:sz="0" w:val="nil"/>
        </w:pBdr>
        <w:shd w:fill="auto" w:val="clear"/>
        <w:tabs>
          <w:tab w:val="left" w:leader="none" w:pos="1731"/>
        </w:tabs>
        <w:spacing w:after="0" w:before="0" w:line="276" w:lineRule="auto"/>
        <w:ind w:left="1730"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Por mutuo acuerdo entre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manifestado por  escrito.</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pStyle w:val="Heading1"/>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RESOLUCIÓN DEL CONTRATO</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terminación o suspensión de la ejecución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permitirá la resolución del Contrato por la Parte que no haya incumplido sus obligaciones contractuales.</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0"/>
        <w:numPr>
          <w:ilvl w:val="1"/>
          <w:numId w:val="6"/>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7"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garantizarán la seguridad del sujeto 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la continuidad del tratamiento, por lo que seguirán proporcionando el tratamiento del ensayo a los sujetos en cumplimiento de lo previsto en el Real Decreto 1015/2009, de 19 de junio, por el que se regula la disponibilidad de medicamentos en situaciones especiales. Si existiera una solicitud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CEIm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 continuación de tratamiento,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convendrán el suministro teniendo en cuenta la viabilidad de producción y los datos de eficacia y seguridad del fármaco en investigación/ tratamiento del ensayo.</w:t>
      </w:r>
    </w:p>
    <w:p w:rsidR="00000000" w:rsidDel="00000000" w:rsidP="00000000" w:rsidRDefault="00000000" w:rsidRPr="00000000" w14:paraId="000000EF">
      <w:pPr>
        <w:pStyle w:val="Heading1"/>
        <w:tabs>
          <w:tab w:val="left" w:leader="none" w:pos="1943"/>
        </w:tabs>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DÉCIMA</w:t>
      </w:r>
      <w:r w:rsidDel="00000000" w:rsidR="00000000" w:rsidRPr="00000000">
        <w:rPr>
          <w:rFonts w:ascii="Times New Roman" w:cs="Times New Roman" w:eastAsia="Times New Roman" w:hAnsi="Times New Roman"/>
          <w:rtl w:val="0"/>
        </w:rPr>
        <w:t xml:space="preserve">.- RESULTADOS Y PUBLICACIONES</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totalidad de los datos, los resultados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así como todos los trabajos y derechos de propiedad industrial e intelectual derivados del mismo, son propiedad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quedando sujetas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 lo establecido en la legislación que resulte de aplicación.</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981" w:right="255"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Esta circunstancia no impedirá 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a 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el uso de los resultados en sus actividades profesionales de investigación y docencia no comerciales, salvaguardando los derechos de propiedad industrial e intelectual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respetando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Conforme a lo establecido en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RD 1090/2015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 compromete a publicar, una vez finalizado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los resultados obtenidos, sean positivos o negativos. Esta publicación tendrá lugar en medios científicos de acceso público, preferentemente en revistas científicas.</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Si los resultados finales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 fuesen sometidos a publicación por parte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podrá dar a conocer, con fines profesionales y en revistas y publicaciones científicas, dichos datos, descubrimientos o invenciones, con mención, al menos,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 acuerdo a los siguientes criterios: Ensayos con productos no comercializados: en el primer año después de su autorización y comercialización en cualquier país; Ensayos realizados después de la comercialización: en el año posterior a la finalización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 menos que se comprometa la publicación en una revista médica sometida a revisión por pares o contravenga la legislación nacional.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El 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deberá recibir para revisión, copia del texto propuesto para su publicación y/o divulgación, de conformidad con lo establecido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PROTOCOLO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en caso de no indicar nada al respecto, al menos cuarenta y cinco (45) días antes de la fecha de envío a la revista científica y, al menos, veinte (20) días antes, en el caso de que se trate de un resumen. En cualquier caso,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sólo podrá utilizar estos datos previa autorización expresa y por escrito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leader="none" w:pos="982"/>
        </w:tabs>
        <w:spacing w:after="0" w:before="0"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acuerdan que la compensación prevista (i) constituye una compensación justa en relación a los servicios prestados según su experiencia; (ii) que no constituye un incentivo para, o a cambio de, pasadas, presentes o futuras prescripciones, compras, recomendaciones, uso, obtención de un estatus formulario preferencial o dispensaciones de cualquier producto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 en modo alguno supeditado o de cualquier actividad parecida; y, (iii) no supone una alteración del juicio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INVESTIGADOR PRINCIPAL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HOSPITAL en relación al asesoramiento y cuidado de cada uno de los Sujetos.</w:t>
      </w:r>
    </w:p>
    <w:p w:rsidR="00000000" w:rsidDel="00000000" w:rsidP="00000000" w:rsidRDefault="00000000" w:rsidRPr="00000000" w14:paraId="000000F9">
      <w:pPr>
        <w:pStyle w:val="Heading1"/>
        <w:tabs>
          <w:tab w:val="left" w:leader="none" w:pos="2102"/>
        </w:tabs>
        <w:spacing w:before="91"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UNDÉCIMA</w:t>
      </w:r>
      <w:r w:rsidDel="00000000" w:rsidR="00000000" w:rsidRPr="00000000">
        <w:rPr>
          <w:rFonts w:ascii="Times New Roman" w:cs="Times New Roman" w:eastAsia="Times New Roman" w:hAnsi="Times New Roman"/>
          <w:rtl w:val="0"/>
        </w:rPr>
        <w:t xml:space="preserve">.- CLAÚSULA ANTICORRUPCIÓN</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70"/>
        </w:tabs>
        <w:spacing w:after="0" w:before="101" w:line="276" w:lineRule="auto"/>
        <w:ind w:left="981" w:right="255"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política anticorrupción establece que todos los empleados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de cualquier tercero que actúe para las mismas o en su nombre, no tengan ningún interés o compromiso que entre en conflicto o le impida desarrollar sus obligaciones en el presente Contrato. Todas las actividades se deben llevar a cabo respetando y cumpliendo estrictamente con los estándares éticos y la legislación aplicable.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consideran esencial un comportamiento íntegro y transparente aplicando una política de tolerancia cero con cualquier práctica corrupta.</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970"/>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Los empleados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 cualquier tercero que actúe en nombre de las mismas, no realizarán pagos de ningún tipo, bajo ningún concepto, ni directa ni indirectamente, a cualquiera de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participantes en 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ENSAYO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 el propósito de obtener una ventaja improcedente o de influir indebidamente en la toma de cualquier decisión. Se incluyen en este concepto los pagos o promesas de pago, en especie y/o en metálico, así como cualquier otro ofrecimiento de bien o servicio.</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0"/>
        <w:numPr>
          <w:ilvl w:val="1"/>
          <w:numId w:val="4"/>
        </w:numPr>
        <w:pBdr>
          <w:top w:space="0" w:sz="0" w:val="nil"/>
          <w:left w:space="0" w:sz="0" w:val="nil"/>
          <w:bottom w:space="0" w:sz="0" w:val="nil"/>
          <w:right w:space="0" w:sz="0" w:val="nil"/>
          <w:between w:space="0" w:sz="0" w:val="nil"/>
        </w:pBdr>
        <w:shd w:fill="auto" w:val="clear"/>
        <w:tabs>
          <w:tab w:val="left" w:leader="none" w:pos="1047"/>
        </w:tabs>
        <w:spacing w:after="0" w:before="0" w:line="276" w:lineRule="auto"/>
        <w:ind w:left="981" w:right="256" w:hanging="72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FUNDACIÓN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registrará de forma fidedigna todas las transacciones económicas derivadas del presente Contrato y pondrá a disposición del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PROMOTOR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cuando éste se lo solicite por escrito, la documentación correspondiente que permita verificar el cumplimiento de los compromisos recogidos en el presente documento.</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u w:val="single"/>
          <w:rtl w:val="0"/>
        </w:rPr>
        <w:t xml:space="preserve">DUODÉCIMA</w:t>
      </w:r>
      <w:r w:rsidDel="00000000" w:rsidR="00000000" w:rsidRPr="00000000">
        <w:rPr>
          <w:rFonts w:ascii="Times New Roman" w:cs="Times New Roman" w:eastAsia="Times New Roman" w:hAnsi="Times New Roman"/>
          <w:rtl w:val="0"/>
        </w:rPr>
        <w:t xml:space="preserve">.- JURISDICCIÓN</w:t>
      </w:r>
    </w:p>
    <w:p w:rsidR="00000000" w:rsidDel="00000000" w:rsidP="00000000" w:rsidRDefault="00000000" w:rsidRPr="00000000" w14:paraId="00000102">
      <w:pPr>
        <w:pStyle w:val="Heading1"/>
        <w:tabs>
          <w:tab w:val="left" w:leader="none" w:pos="2359"/>
        </w:tabs>
        <w:spacing w:before="192" w:lineRule="auto"/>
        <w:ind w:firstLine="261"/>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12.1</w:t>
      </w: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Para resolver cualquier discrepancia en la aplicación o interpretación de lo establecido en este Contrato, las </w:t>
      </w:r>
      <w:r w:rsidDel="00000000" w:rsidR="00000000" w:rsidRPr="00000000">
        <w:rPr>
          <w:rFonts w:ascii="Times New Roman" w:cs="Times New Roman" w:eastAsia="Times New Roman" w:hAnsi="Times New Roman"/>
          <w:b w:val="1"/>
          <w:rtl w:val="0"/>
        </w:rPr>
        <w:t xml:space="preserve">PARTES </w:t>
      </w:r>
      <w:r w:rsidDel="00000000" w:rsidR="00000000" w:rsidRPr="00000000">
        <w:rPr>
          <w:rFonts w:ascii="Times New Roman" w:cs="Times New Roman" w:eastAsia="Times New Roman" w:hAnsi="Times New Roman"/>
          <w:rtl w:val="0"/>
        </w:rPr>
        <w:t xml:space="preserve">se someten, con renuncia expresa al fuero que pudiese corresponderles, a la jurisdicción de los juzgados y tribunales de la localidad de la Comunidad de Madrid donde radique el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104">
      <w:pPr>
        <w:tabs>
          <w:tab w:val="left" w:leader="none" w:pos="284"/>
        </w:tabs>
        <w:spacing w:line="276" w:lineRule="auto"/>
        <w:ind w:left="993" w:right="256" w:hanging="10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12.2</w:t>
        <w:tab/>
        <w:t xml:space="preserve">En el caso de disponer de una copia de este Contrato en otra lengua o idioma, prevalecerá la versión en español.</w:t>
      </w:r>
    </w:p>
    <w:p w:rsidR="00000000" w:rsidDel="00000000" w:rsidP="00000000" w:rsidRDefault="00000000" w:rsidRPr="00000000" w14:paraId="00000106">
      <w:pPr>
        <w:tabs>
          <w:tab w:val="left" w:leader="none" w:pos="284"/>
        </w:tabs>
        <w:spacing w:line="276" w:lineRule="auto"/>
        <w:ind w:left="993" w:right="256" w:hanging="763"/>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993" w:right="292" w:hanging="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12.3     </w:t>
        <w:tab/>
        <w:t xml:space="preserve">Y para que conste, y en prueba de conformidad, las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PARTES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firman este documento por cuadruplicado y a un solo efecto.</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98"/>
        </w:tabs>
        <w:spacing w:after="0" w:before="0" w:line="276" w:lineRule="auto"/>
        <w:ind w:left="0" w:right="29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tabs>
          <w:tab w:val="left" w:leader="none" w:pos="4475"/>
        </w:tabs>
        <w:spacing w:before="91" w:line="276" w:lineRule="auto"/>
        <w:ind w:left="4476" w:right="543" w:hanging="4215"/>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Por el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w:t>
        <w:tab/>
        <w:t xml:space="preserve">La </w:t>
      </w:r>
      <w:r w:rsidDel="00000000" w:rsidR="00000000" w:rsidRPr="00000000">
        <w:rPr>
          <w:rFonts w:ascii="Times New Roman" w:cs="Times New Roman" w:eastAsia="Times New Roman" w:hAnsi="Times New Roman"/>
          <w:b w:val="1"/>
          <w:rtl w:val="0"/>
        </w:rPr>
        <w:t xml:space="preserve">CRO </w:t>
      </w:r>
      <w:r w:rsidDel="00000000" w:rsidR="00000000" w:rsidRPr="00000000">
        <w:rPr>
          <w:rFonts w:ascii="Times New Roman" w:cs="Times New Roman" w:eastAsia="Times New Roman" w:hAnsi="Times New Roman"/>
          <w:i w:val="1"/>
          <w:rtl w:val="0"/>
        </w:rPr>
        <w:t xml:space="preserve">en nombre y representación del promotor</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D.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 </w:t>
        <w:tab/>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7"/>
          <w:tab w:val="left" w:leader="none" w:pos="4475"/>
          <w:tab w:val="left" w:leader="none" w:pos="5290"/>
        </w:tabs>
        <w:spacing w:after="0" w:before="101" w:line="240" w:lineRule="auto"/>
        <w:ind w:left="261" w:right="0" w:firstLine="0"/>
        <w:jc w:val="lef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C">
      <w:pPr>
        <w:spacing w:line="276" w:lineRule="auto"/>
        <w:ind w:left="4320" w:hanging="4059"/>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Por la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 xml:space="preserve">.</w:t>
        <w:tab/>
        <w:tab/>
        <w:t xml:space="preserve">Por el </w:t>
      </w:r>
      <w:r w:rsidDel="00000000" w:rsidR="00000000" w:rsidRPr="00000000">
        <w:rPr>
          <w:rFonts w:ascii="Times New Roman" w:cs="Times New Roman" w:eastAsia="Times New Roman" w:hAnsi="Times New Roman"/>
          <w:b w:val="1"/>
          <w:rtl w:val="0"/>
        </w:rPr>
        <w:t xml:space="preserve">EL HOSPITAL</w:t>
      </w:r>
    </w:p>
    <w:p w:rsidR="00000000" w:rsidDel="00000000" w:rsidP="00000000" w:rsidRDefault="00000000" w:rsidRPr="00000000" w14:paraId="0000010D">
      <w:pPr>
        <w:spacing w:line="276" w:lineRule="auto"/>
        <w:ind w:left="4320" w:hanging="4059"/>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E">
      <w:pPr>
        <w:spacing w:line="276" w:lineRule="auto"/>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0F">
      <w:pPr>
        <w:ind w:left="4961" w:hanging="4700"/>
        <w:rPr>
          <w:rFonts w:ascii="Garamond" w:cs="Garamond" w:eastAsia="Garamond" w:hAnsi="Garamond"/>
          <w:color w:val="000000"/>
        </w:rPr>
      </w:pPr>
      <w:r w:rsidDel="00000000" w:rsidR="00000000" w:rsidRPr="00000000">
        <w:rPr>
          <w:rFonts w:ascii="Times New Roman" w:cs="Times New Roman" w:eastAsia="Times New Roman" w:hAnsi="Times New Roman"/>
          <w:rtl w:val="0"/>
        </w:rPr>
        <w:t xml:space="preserve">D. Fernando Neira Álvarez</w:t>
        <w:tab/>
        <w:t xml:space="preserve">Fdo. D. José Gilberto González Antón</w:t>
      </w:r>
      <w:r w:rsidDel="00000000" w:rsidR="00000000" w:rsidRPr="00000000">
        <w:rPr>
          <w:rtl w:val="0"/>
        </w:rPr>
      </w:r>
    </w:p>
    <w:p w:rsidR="00000000" w:rsidDel="00000000" w:rsidP="00000000" w:rsidRDefault="00000000" w:rsidRPr="00000000" w14:paraId="00000110">
      <w:pPr>
        <w:spacing w:line="276" w:lineRule="auto"/>
        <w:ind w:left="4320" w:hanging="4059"/>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111">
      <w:pPr>
        <w:pStyle w:val="Heading1"/>
        <w:spacing w:before="101" w:lineRule="auto"/>
        <w:ind w:left="0" w:firstLine="26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INVESTIGADOR PRINCIPAL</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076"/>
        </w:tabs>
        <w:spacing w:after="0" w:before="1"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sectPr>
          <w:type w:val="continuous"/>
          <w:pgSz w:h="16840" w:w="11910" w:orient="portrait"/>
          <w:pgMar w:bottom="1240" w:top="1814" w:left="1440" w:right="1440" w:header="709" w:footer="1017"/>
        </w:sect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76" w:lineRule="auto"/>
        <w:ind w:left="0" w:right="254"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sectPr>
          <w:headerReference r:id="rId11" w:type="default"/>
          <w:headerReference r:id="rId12" w:type="first"/>
          <w:footerReference r:id="rId13" w:type="default"/>
          <w:type w:val="continuous"/>
          <w:pgSz w:h="16840" w:w="11910" w:orient="portrait"/>
          <w:pgMar w:bottom="1200" w:top="1480" w:left="1440" w:right="1440" w:header="317" w:footer="1017"/>
          <w:pgNumType w:start="1"/>
          <w:titlePg w:val="1"/>
        </w:sectPr>
      </w:pPr>
      <w:r w:rsidDel="00000000" w:rsidR="00000000" w:rsidRPr="00000000">
        <w:rPr>
          <w:rtl w:val="0"/>
        </w:rPr>
      </w:r>
    </w:p>
    <w:p w:rsidR="00000000" w:rsidDel="00000000" w:rsidP="00000000" w:rsidRDefault="00000000" w:rsidRPr="00000000" w14:paraId="00000115">
      <w:pPr>
        <w:spacing w:line="276" w:lineRule="auto"/>
        <w:ind w:right="254"/>
        <w:jc w:val="both"/>
        <w:rPr>
          <w:rFonts w:ascii="Times New Roman" w:cs="Times New Roman" w:eastAsia="Times New Roman" w:hAnsi="Times New Roman"/>
        </w:rPr>
        <w:sectPr>
          <w:type w:val="continuous"/>
          <w:pgSz w:h="16840" w:w="11910" w:orient="portrait"/>
          <w:pgMar w:bottom="1240" w:top="1480" w:left="1440" w:right="1440" w:header="317" w:footer="1017"/>
        </w:sectPr>
      </w:pPr>
      <w:r w:rsidDel="00000000" w:rsidR="00000000" w:rsidRPr="00000000">
        <w:rPr>
          <w:rtl w:val="0"/>
        </w:rPr>
      </w:r>
    </w:p>
    <w:p w:rsidR="00000000" w:rsidDel="00000000" w:rsidP="00000000" w:rsidRDefault="00000000" w:rsidRPr="00000000" w14:paraId="00000116">
      <w:pPr>
        <w:pStyle w:val="Heading1"/>
        <w:tabs>
          <w:tab w:val="left" w:leader="none" w:pos="1943"/>
        </w:tabs>
        <w:ind w:lef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17">
      <w:pPr>
        <w:pStyle w:val="Heading1"/>
        <w:tabs>
          <w:tab w:val="left" w:leader="none" w:pos="1943"/>
        </w:tabs>
        <w:ind w:left="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pStyle w:val="Heading1"/>
        <w:tabs>
          <w:tab w:val="left" w:leader="none" w:pos="1943"/>
        </w:tabs>
        <w:ind w:lef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MEMORIA ECONÓMICA</w:t>
      </w:r>
    </w:p>
    <w:p w:rsidR="00000000" w:rsidDel="00000000" w:rsidP="00000000" w:rsidRDefault="00000000" w:rsidRPr="00000000" w14:paraId="00000119">
      <w:pPr>
        <w:tabs>
          <w:tab w:val="left" w:leader="none" w:pos="1943"/>
        </w:tabs>
        <w:rPr/>
      </w:pPr>
      <w:r w:rsidDel="00000000" w:rsidR="00000000" w:rsidRPr="00000000">
        <w:rPr>
          <w:rtl w:val="0"/>
        </w:rPr>
      </w:r>
    </w:p>
    <w:p w:rsidR="00000000" w:rsidDel="00000000" w:rsidP="00000000" w:rsidRDefault="00000000" w:rsidRPr="00000000" w14:paraId="0000011A">
      <w:pPr>
        <w:tabs>
          <w:tab w:val="left" w:leader="none" w:pos="1943"/>
        </w:tabs>
        <w:rPr/>
      </w:pPr>
      <w:r w:rsidDel="00000000" w:rsidR="00000000" w:rsidRPr="00000000">
        <w:rPr>
          <w:rtl w:val="0"/>
        </w:rPr>
      </w:r>
    </w:p>
    <w:p w:rsidR="00000000" w:rsidDel="00000000" w:rsidP="00000000" w:rsidRDefault="00000000" w:rsidRPr="00000000" w14:paraId="0000011B">
      <w:pPr>
        <w:tabs>
          <w:tab w:val="left" w:leader="none" w:pos="1943"/>
        </w:tabs>
        <w:rPr/>
      </w:pPr>
      <w:r w:rsidDel="00000000" w:rsidR="00000000" w:rsidRPr="00000000">
        <w:rPr>
          <w:rtl w:val="0"/>
        </w:rPr>
      </w:r>
    </w:p>
    <w:p w:rsidR="00000000" w:rsidDel="00000000" w:rsidP="00000000" w:rsidRDefault="00000000" w:rsidRPr="00000000" w14:paraId="0000011C">
      <w:pPr>
        <w:tabs>
          <w:tab w:val="left" w:leader="none" w:pos="1943"/>
        </w:tabs>
        <w:rPr/>
      </w:pPr>
      <w:r w:rsidDel="00000000" w:rsidR="00000000" w:rsidRPr="00000000">
        <w:rPr>
          <w:rtl w:val="0"/>
        </w:rPr>
      </w:r>
    </w:p>
    <w:p w:rsidR="00000000" w:rsidDel="00000000" w:rsidP="00000000" w:rsidRDefault="00000000" w:rsidRPr="00000000" w14:paraId="0000011D">
      <w:pPr>
        <w:tabs>
          <w:tab w:val="left" w:leader="none" w:pos="1943"/>
        </w:tabs>
        <w:rPr/>
      </w:pPr>
      <w:r w:rsidDel="00000000" w:rsidR="00000000" w:rsidRPr="00000000">
        <w:rPr>
          <w:rtl w:val="0"/>
        </w:rPr>
      </w:r>
    </w:p>
    <w:p w:rsidR="00000000" w:rsidDel="00000000" w:rsidP="00000000" w:rsidRDefault="00000000" w:rsidRPr="00000000" w14:paraId="0000011E">
      <w:pPr>
        <w:tabs>
          <w:tab w:val="left" w:leader="none" w:pos="1943"/>
        </w:tabs>
        <w:rPr/>
      </w:pPr>
      <w:r w:rsidDel="00000000" w:rsidR="00000000" w:rsidRPr="00000000">
        <w:rPr>
          <w:rtl w:val="0"/>
        </w:rPr>
      </w:r>
    </w:p>
    <w:p w:rsidR="00000000" w:rsidDel="00000000" w:rsidP="00000000" w:rsidRDefault="00000000" w:rsidRPr="00000000" w14:paraId="0000011F">
      <w:pPr>
        <w:tabs>
          <w:tab w:val="left" w:leader="none" w:pos="1943"/>
        </w:tabs>
        <w:rPr/>
      </w:pPr>
      <w:r w:rsidDel="00000000" w:rsidR="00000000" w:rsidRPr="00000000">
        <w:rPr>
          <w:rtl w:val="0"/>
        </w:rPr>
      </w:r>
    </w:p>
    <w:p w:rsidR="00000000" w:rsidDel="00000000" w:rsidP="00000000" w:rsidRDefault="00000000" w:rsidRPr="00000000" w14:paraId="00000120">
      <w:pPr>
        <w:tabs>
          <w:tab w:val="left" w:leader="none" w:pos="1943"/>
        </w:tabs>
        <w:rPr/>
      </w:pPr>
      <w:r w:rsidDel="00000000" w:rsidR="00000000" w:rsidRPr="00000000">
        <w:rPr>
          <w:rtl w:val="0"/>
        </w:rPr>
      </w:r>
    </w:p>
    <w:p w:rsidR="00000000" w:rsidDel="00000000" w:rsidP="00000000" w:rsidRDefault="00000000" w:rsidRPr="00000000" w14:paraId="00000121">
      <w:pPr>
        <w:tabs>
          <w:tab w:val="left" w:leader="none" w:pos="1943"/>
        </w:tabs>
        <w:rPr/>
      </w:pPr>
      <w:r w:rsidDel="00000000" w:rsidR="00000000" w:rsidRPr="00000000">
        <w:rPr>
          <w:rtl w:val="0"/>
        </w:rPr>
      </w:r>
    </w:p>
    <w:p w:rsidR="00000000" w:rsidDel="00000000" w:rsidP="00000000" w:rsidRDefault="00000000" w:rsidRPr="00000000" w14:paraId="00000122">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ANEXO II</w:t>
      </w:r>
    </w:p>
    <w:p w:rsidR="00000000" w:rsidDel="00000000" w:rsidP="00000000" w:rsidRDefault="00000000" w:rsidRPr="00000000" w14:paraId="00000123">
      <w:pPr>
        <w:tabs>
          <w:tab w:val="left" w:leader="none" w:pos="1943"/>
        </w:tabs>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RELACIÓN DE INTEGRANTES DEL EQUIPO INVESTIGADOR </w:t>
      </w:r>
    </w:p>
    <w:p w:rsidR="00000000" w:rsidDel="00000000" w:rsidP="00000000" w:rsidRDefault="00000000" w:rsidRPr="00000000" w14:paraId="00000124">
      <w:pPr>
        <w:tabs>
          <w:tab w:val="left" w:leader="none" w:pos="1943"/>
        </w:tabs>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5">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w:t>
      </w:r>
    </w:p>
    <w:p w:rsidR="00000000" w:rsidDel="00000000" w:rsidP="00000000" w:rsidRDefault="00000000" w:rsidRPr="00000000" w14:paraId="00000126">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7">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28">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29">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Servicio de ___ </w:t>
      </w:r>
    </w:p>
    <w:p w:rsidR="00000000" w:rsidDel="00000000" w:rsidP="00000000" w:rsidRDefault="00000000" w:rsidRPr="00000000" w14:paraId="0000012A">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B">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Colaboradores: </w:t>
      </w:r>
    </w:p>
    <w:p w:rsidR="00000000" w:rsidDel="00000000" w:rsidP="00000000" w:rsidRDefault="00000000" w:rsidRPr="00000000" w14:paraId="0000012C">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2E">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Servicio de ___ </w:t>
      </w:r>
    </w:p>
    <w:p w:rsidR="00000000" w:rsidDel="00000000" w:rsidP="00000000" w:rsidRDefault="00000000" w:rsidRPr="00000000" w14:paraId="0000012F">
      <w:pPr>
        <w:tabs>
          <w:tab w:val="left" w:leader="none" w:pos="1943"/>
        </w:tabs>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0">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___ </w:t>
      </w:r>
    </w:p>
    <w:p w:rsidR="00000000" w:rsidDel="00000000" w:rsidP="00000000" w:rsidRDefault="00000000" w:rsidRPr="00000000" w14:paraId="00000131">
      <w:pPr>
        <w:tabs>
          <w:tab w:val="left" w:leader="none" w:pos="1943"/>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DNI nº ___ </w:t>
      </w:r>
    </w:p>
    <w:p w:rsidR="00000000" w:rsidDel="00000000" w:rsidP="00000000" w:rsidRDefault="00000000" w:rsidRPr="00000000" w14:paraId="00000132">
      <w:pPr>
        <w:tabs>
          <w:tab w:val="left" w:leader="none" w:pos="1943"/>
        </w:tabs>
        <w:rPr/>
      </w:pPr>
      <w:r w:rsidDel="00000000" w:rsidR="00000000" w:rsidRPr="00000000">
        <w:rPr>
          <w:rFonts w:ascii="Times New Roman" w:cs="Times New Roman" w:eastAsia="Times New Roman" w:hAnsi="Times New Roman"/>
          <w:rtl w:val="0"/>
        </w:rPr>
        <w:t xml:space="preserve">Servicio de ___</w:t>
      </w:r>
      <w:r w:rsidDel="00000000" w:rsidR="00000000" w:rsidRPr="00000000">
        <w:rPr>
          <w:rtl w:val="0"/>
        </w:rPr>
      </w:r>
    </w:p>
    <w:p w:rsidR="00000000" w:rsidDel="00000000" w:rsidP="00000000" w:rsidRDefault="00000000" w:rsidRPr="00000000" w14:paraId="00000133">
      <w:pPr>
        <w:pStyle w:val="Heading1"/>
        <w:tabs>
          <w:tab w:val="left" w:leader="none" w:pos="1943"/>
        </w:tabs>
        <w:ind w:left="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4">
      <w:pPr>
        <w:pStyle w:val="Heading1"/>
        <w:tabs>
          <w:tab w:val="left" w:leader="none" w:pos="1943"/>
        </w:tabs>
        <w:ind w:left="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III</w:t>
      </w:r>
    </w:p>
    <w:p w:rsidR="00000000" w:rsidDel="00000000" w:rsidP="00000000" w:rsidRDefault="00000000" w:rsidRPr="00000000" w14:paraId="00000135">
      <w:pPr>
        <w:pStyle w:val="Heading1"/>
        <w:tabs>
          <w:tab w:val="left" w:leader="none" w:pos="1943"/>
        </w:tabs>
        <w:ind w:left="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pStyle w:val="Heading1"/>
        <w:tabs>
          <w:tab w:val="left" w:leader="none" w:pos="1943"/>
        </w:tabs>
        <w:ind w:left="0"/>
        <w:jc w:val="center"/>
        <w:rPr>
          <w:rFonts w:ascii="Times New Roman" w:cs="Times New Roman" w:eastAsia="Times New Roman" w:hAnsi="Times New Roman"/>
        </w:rPr>
      </w:pPr>
      <w:bookmarkStart w:colFirst="0" w:colLast="0" w:name="_heading=h.namdmrpkn61z" w:id="2"/>
      <w:bookmarkEnd w:id="2"/>
      <w:r w:rsidDel="00000000" w:rsidR="00000000" w:rsidRPr="00000000">
        <w:rPr>
          <w:rFonts w:ascii="Times New Roman" w:cs="Times New Roman" w:eastAsia="Times New Roman" w:hAnsi="Times New Roman"/>
          <w:rtl w:val="0"/>
        </w:rPr>
        <w:t xml:space="preserve">CERTIFICADO DE LA PÓLIZA DE SEGURO</w:t>
      </w:r>
    </w:p>
    <w:p w:rsidR="00000000" w:rsidDel="00000000" w:rsidP="00000000" w:rsidRDefault="00000000" w:rsidRPr="00000000" w14:paraId="00000137">
      <w:pPr>
        <w:pStyle w:val="Heading1"/>
        <w:tabs>
          <w:tab w:val="left" w:leader="none" w:pos="1943"/>
        </w:tabs>
        <w:ind w:left="0" w:firstLine="0"/>
        <w:jc w:val="center"/>
        <w:rPr>
          <w:rFonts w:ascii="Times New Roman" w:cs="Times New Roman" w:eastAsia="Times New Roman" w:hAnsi="Times New Roman"/>
        </w:rPr>
      </w:pPr>
      <w:r w:rsidDel="00000000" w:rsidR="00000000" w:rsidRPr="00000000">
        <w:rPr>
          <w:rtl w:val="0"/>
        </w:rPr>
      </w:r>
    </w:p>
    <w:sectPr>
      <w:type w:val="nextPage"/>
      <w:pgSz w:h="16840" w:w="11910" w:orient="portrait"/>
      <w:pgMar w:bottom="1240" w:top="1480" w:left="1440" w:right="1440" w:header="317"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Verdana"/>
  <w:font w:name="Georgia"/>
  <w:font w:name="Times New Roman"/>
  <w:font w:name="Arial"/>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942857917" name=""/>
              <a:graphic>
                <a:graphicData uri="http://schemas.microsoft.com/office/word/2010/wordprocessingShape">
                  <wps:wsp>
                    <wps:cNvSpPr/>
                    <wps:cNvPr id="5" name="Shape 5"/>
                    <wps:spPr>
                      <a:xfrm>
                        <a:off x="5235193" y="3681893"/>
                        <a:ext cx="221615" cy="196215"/>
                      </a:xfrm>
                      <a:prstGeom prst="rect">
                        <a:avLst/>
                      </a:prstGeom>
                      <a:noFill/>
                      <a:ln>
                        <a:noFill/>
                      </a:ln>
                    </wps:spPr>
                    <wps:txbx>
                      <w:txbxContent>
                        <w:p w:rsidR="00000000" w:rsidDel="00000000" w:rsidP="00000000" w:rsidRDefault="00000000" w:rsidRPr="00000000">
                          <w:pPr>
                            <w:spacing w:after="0" w:before="12.000000476837158" w:line="240"/>
                            <w:ind w:left="40" w:right="0" w:firstLine="4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5359400</wp:posOffset>
              </wp:positionH>
              <wp:positionV relativeFrom="paragraph">
                <wp:posOffset>9867900</wp:posOffset>
              </wp:positionV>
              <wp:extent cx="231140" cy="205740"/>
              <wp:effectExtent b="0" l="0" r="0" t="0"/>
              <wp:wrapNone/>
              <wp:docPr id="94285791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231140" cy="20574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Pr>
      <w:drawing>
        <wp:inline distB="0" distT="0" distL="0" distR="0">
          <wp:extent cx="2596881" cy="548034"/>
          <wp:effectExtent b="0" l="0" r="0" t="0"/>
          <wp:docPr id="94285792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96881" cy="548034"/>
                  </a:xfrm>
                  <a:prstGeom prst="rect"/>
                  <a:ln/>
                </pic:spPr>
              </pic:pic>
            </a:graphicData>
          </a:graphic>
        </wp:inline>
      </w:drawing>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3295650</wp:posOffset>
          </wp:positionH>
          <wp:positionV relativeFrom="paragraph">
            <wp:posOffset>120650</wp:posOffset>
          </wp:positionV>
          <wp:extent cx="2032000" cy="314325"/>
          <wp:effectExtent b="0" l="0" r="0" t="0"/>
          <wp:wrapSquare wrapText="bothSides" distB="0" distT="0" distL="114300" distR="114300"/>
          <wp:docPr id="942857918"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032000" cy="314325"/>
                  </a:xfrm>
                  <a:prstGeom prst="rect"/>
                  <a:ln/>
                </pic:spPr>
              </pic:pic>
            </a:graphicData>
          </a:graphic>
        </wp:anchor>
      </w:drawing>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-228599</wp:posOffset>
              </wp:positionV>
              <wp:extent cx="1057275" cy="238125"/>
              <wp:effectExtent b="0" l="0" r="0" t="0"/>
              <wp:wrapNone/>
              <wp:docPr id="942857915" name=""/>
              <a:graphic>
                <a:graphicData uri="http://schemas.microsoft.com/office/word/2010/wordprocessingShape">
                  <wps:wsp>
                    <wps:cNvSpPr/>
                    <wps:cNvPr id="3" name="Shape 3"/>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-228599</wp:posOffset>
              </wp:positionV>
              <wp:extent cx="1057275" cy="238125"/>
              <wp:effectExtent b="0" l="0" r="0" t="0"/>
              <wp:wrapNone/>
              <wp:docPr id="94285791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284"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3771900</wp:posOffset>
          </wp:positionH>
          <wp:positionV relativeFrom="paragraph">
            <wp:posOffset>-61594</wp:posOffset>
          </wp:positionV>
          <wp:extent cx="2057400" cy="583565"/>
          <wp:effectExtent b="0" l="0" r="0" t="0"/>
          <wp:wrapSquare wrapText="bothSides" distB="0" distT="0" distL="114300" distR="114300"/>
          <wp:docPr descr="Descripción: Hospital Universitario Puerta de Hierro Majadahonda2" id="942857919" name="image3.jpg"/>
          <a:graphic>
            <a:graphicData uri="http://schemas.openxmlformats.org/drawingml/2006/picture">
              <pic:pic>
                <pic:nvPicPr>
                  <pic:cNvPr descr="Descripción: Hospital Universitario Puerta de Hierro Majadahonda2" id="0" name="image3.jpg"/>
                  <pic:cNvPicPr preferRelativeResize="0"/>
                </pic:nvPicPr>
                <pic:blipFill>
                  <a:blip r:embed="rId1"/>
                  <a:srcRect b="0" l="0" r="0" t="0"/>
                  <a:stretch>
                    <a:fillRect/>
                  </a:stretch>
                </pic:blipFill>
                <pic:spPr>
                  <a:xfrm>
                    <a:off x="0" y="0"/>
                    <a:ext cx="2057400" cy="58356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69851</wp:posOffset>
          </wp:positionH>
          <wp:positionV relativeFrom="paragraph">
            <wp:posOffset>-61594</wp:posOffset>
          </wp:positionV>
          <wp:extent cx="2857500" cy="476250"/>
          <wp:effectExtent b="0" l="0" r="0" t="0"/>
          <wp:wrapNone/>
          <wp:docPr id="94285792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857500" cy="476250"/>
                  </a:xfrm>
                  <a:prstGeom prst="rect"/>
                  <a:ln/>
                </pic:spPr>
              </pic:pic>
            </a:graphicData>
          </a:graphic>
        </wp:anchor>
      </w:drawing>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942857914" name=""/>
              <a:graphic>
                <a:graphicData uri="http://schemas.microsoft.com/office/word/2010/wordprocessingShape">
                  <wps:wsp>
                    <wps:cNvSpPr/>
                    <wps:cNvPr id="2" name="Shape 2"/>
                    <wps:spPr>
                      <a:xfrm>
                        <a:off x="4822125" y="3665700"/>
                        <a:ext cx="1047750" cy="228600"/>
                      </a:xfrm>
                      <a:prstGeom prst="rect">
                        <a:avLst/>
                      </a:prstGeom>
                      <a:noFill/>
                      <a:ln cap="flat" cmpd="sng" w="9525">
                        <a:solidFill>
                          <a:schemeClr val="dk1">
                            <a:alpha val="74901"/>
                          </a:scheme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1244600</wp:posOffset>
              </wp:positionH>
              <wp:positionV relativeFrom="paragraph">
                <wp:posOffset>114300</wp:posOffset>
              </wp:positionV>
              <wp:extent cx="1057275" cy="238125"/>
              <wp:effectExtent b="0" l="0" r="0" t="0"/>
              <wp:wrapNone/>
              <wp:docPr id="94285791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57275" cy="238125"/>
                      </a:xfrm>
                      <a:prstGeom prst="rect"/>
                      <a:ln/>
                    </pic:spPr>
                  </pic:pic>
                </a:graphicData>
              </a:graphic>
            </wp:anchor>
          </w:drawing>
        </mc:Fallback>
      </mc:AlternateConten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0"/>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Código de estudio</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    </w:t>
    </w:r>
    <w:r w:rsidDel="00000000" w:rsidR="00000000" w:rsidRPr="00000000">
      <w:rPr>
        <w:rFonts w:ascii="Verdana" w:cs="Verdana" w:eastAsia="Verdana" w:hAnsi="Verdana"/>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Verdana" w:cs="Verdana" w:eastAsia="Verdana" w:hAnsi="Verdana"/>
        <w:b w:val="1"/>
        <w:i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i w:val="0"/>
        <w:smallCaps w:val="0"/>
        <w:strike w:val="0"/>
        <w:color w:val="000000"/>
        <w:sz w:val="22"/>
        <w:szCs w:val="22"/>
        <w:u w:val="none"/>
        <w:shd w:fill="auto" w:val="clear"/>
        <w:vertAlign w:val="baseline"/>
        <w:rtl w:val="0"/>
      </w:rPr>
      <w:t xml:space="preserve">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1010" w:hanging="749"/>
      </w:pPr>
      <w:rPr/>
    </w:lvl>
    <w:lvl w:ilvl="1">
      <w:start w:val="1"/>
      <w:numFmt w:val="decimal"/>
      <w:lvlText w:val="%1.%2."/>
      <w:lvlJc w:val="left"/>
      <w:pPr>
        <w:ind w:left="1010" w:hanging="749"/>
      </w:pPr>
      <w:rPr>
        <w:rFonts w:ascii="Times New Roman" w:cs="Times New Roman" w:eastAsia="Times New Roman" w:hAnsi="Times New Roman"/>
        <w:sz w:val="22"/>
        <w:szCs w:val="22"/>
      </w:rPr>
    </w:lvl>
    <w:lvl w:ilvl="2">
      <w:start w:val="1"/>
      <w:numFmt w:val="decimal"/>
      <w:lvlText w:val="%1.%2.%3."/>
      <w:lvlJc w:val="left"/>
      <w:pPr>
        <w:ind w:left="1756" w:hanging="720"/>
      </w:pPr>
      <w:rPr>
        <w:rFonts w:ascii="Times New Roman" w:cs="Times New Roman" w:eastAsia="Times New Roman" w:hAnsi="Times New Roman"/>
        <w:sz w:val="22"/>
        <w:szCs w:val="22"/>
      </w:rPr>
    </w:lvl>
    <w:lvl w:ilvl="3">
      <w:start w:val="0"/>
      <w:numFmt w:val="bullet"/>
      <w:lvlText w:val="•"/>
      <w:lvlJc w:val="left"/>
      <w:pPr>
        <w:ind w:left="3374" w:hanging="720"/>
      </w:pPr>
      <w:rPr/>
    </w:lvl>
    <w:lvl w:ilvl="4">
      <w:start w:val="0"/>
      <w:numFmt w:val="bullet"/>
      <w:lvlText w:val="•"/>
      <w:lvlJc w:val="left"/>
      <w:pPr>
        <w:ind w:left="4181" w:hanging="720"/>
      </w:pPr>
      <w:rPr/>
    </w:lvl>
    <w:lvl w:ilvl="5">
      <w:start w:val="0"/>
      <w:numFmt w:val="bullet"/>
      <w:lvlText w:val="•"/>
      <w:lvlJc w:val="left"/>
      <w:pPr>
        <w:ind w:left="4989" w:hanging="720"/>
      </w:pPr>
      <w:rPr/>
    </w:lvl>
    <w:lvl w:ilvl="6">
      <w:start w:val="0"/>
      <w:numFmt w:val="bullet"/>
      <w:lvlText w:val="•"/>
      <w:lvlJc w:val="left"/>
      <w:pPr>
        <w:ind w:left="5796" w:hanging="720"/>
      </w:pPr>
      <w:rPr/>
    </w:lvl>
    <w:lvl w:ilvl="7">
      <w:start w:val="0"/>
      <w:numFmt w:val="bullet"/>
      <w:lvlText w:val="•"/>
      <w:lvlJc w:val="left"/>
      <w:pPr>
        <w:ind w:left="6603" w:hanging="720"/>
      </w:pPr>
      <w:rPr/>
    </w:lvl>
    <w:lvl w:ilvl="8">
      <w:start w:val="0"/>
      <w:numFmt w:val="bullet"/>
      <w:lvlText w:val="•"/>
      <w:lvlJc w:val="left"/>
      <w:pPr>
        <w:ind w:left="7410" w:hanging="720"/>
      </w:pPr>
      <w:rPr/>
    </w:lvl>
  </w:abstractNum>
  <w:abstractNum w:abstractNumId="2">
    <w:lvl w:ilvl="0">
      <w:start w:val="3"/>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56" w:hanging="747.0000000000001"/>
      </w:pPr>
      <w:rPr>
        <w:rFonts w:ascii="Times New Roman" w:cs="Times New Roman" w:eastAsia="Times New Roman" w:hAnsi="Times New Roman"/>
        <w:sz w:val="22"/>
        <w:szCs w:val="22"/>
      </w:rPr>
    </w:lvl>
    <w:lvl w:ilvl="3">
      <w:start w:val="0"/>
      <w:numFmt w:val="bullet"/>
      <w:lvlText w:val="•"/>
      <w:lvlJc w:val="left"/>
      <w:pPr>
        <w:ind w:left="2849" w:hanging="747"/>
      </w:pPr>
      <w:rPr/>
    </w:lvl>
    <w:lvl w:ilvl="4">
      <w:start w:val="0"/>
      <w:numFmt w:val="bullet"/>
      <w:lvlText w:val="•"/>
      <w:lvlJc w:val="left"/>
      <w:pPr>
        <w:ind w:left="3393" w:hanging="747"/>
      </w:pPr>
      <w:rPr/>
    </w:lvl>
    <w:lvl w:ilvl="5">
      <w:start w:val="0"/>
      <w:numFmt w:val="bullet"/>
      <w:lvlText w:val="•"/>
      <w:lvlJc w:val="left"/>
      <w:pPr>
        <w:ind w:left="3938" w:hanging="747"/>
      </w:pPr>
      <w:rPr/>
    </w:lvl>
    <w:lvl w:ilvl="6">
      <w:start w:val="0"/>
      <w:numFmt w:val="bullet"/>
      <w:lvlText w:val="•"/>
      <w:lvlJc w:val="left"/>
      <w:pPr>
        <w:ind w:left="4482" w:hanging="747"/>
      </w:pPr>
      <w:rPr/>
    </w:lvl>
    <w:lvl w:ilvl="7">
      <w:start w:val="0"/>
      <w:numFmt w:val="bullet"/>
      <w:lvlText w:val="•"/>
      <w:lvlJc w:val="left"/>
      <w:pPr>
        <w:ind w:left="5027" w:hanging="747"/>
      </w:pPr>
      <w:rPr/>
    </w:lvl>
    <w:lvl w:ilvl="8">
      <w:start w:val="0"/>
      <w:numFmt w:val="bullet"/>
      <w:lvlText w:val="•"/>
      <w:lvlJc w:val="left"/>
      <w:pPr>
        <w:ind w:left="5571" w:hanging="747"/>
      </w:pPr>
      <w:rPr/>
    </w:lvl>
  </w:abstractNum>
  <w:abstractNum w:abstractNumId="3">
    <w:lvl w:ilvl="0">
      <w:start w:val="2"/>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b w:val="0"/>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4">
    <w:lvl w:ilvl="0">
      <w:start w:val="11"/>
      <w:numFmt w:val="decimal"/>
      <w:lvlText w:val="%1"/>
      <w:lvlJc w:val="left"/>
      <w:pPr>
        <w:ind w:left="981" w:hanging="708"/>
      </w:pPr>
      <w:rPr/>
    </w:lvl>
    <w:lvl w:ilvl="1">
      <w:start w:val="1"/>
      <w:numFmt w:val="decimal"/>
      <w:lvlText w:val="%1.%2."/>
      <w:lvlJc w:val="left"/>
      <w:pPr>
        <w:ind w:left="981" w:hanging="708"/>
      </w:pPr>
      <w:rPr>
        <w:rFonts w:ascii="Times New Roman" w:cs="Times New Roman" w:eastAsia="Times New Roman" w:hAnsi="Times New Roman"/>
        <w:sz w:val="22"/>
        <w:szCs w:val="22"/>
      </w:rPr>
    </w:lvl>
    <w:lvl w:ilvl="2">
      <w:start w:val="0"/>
      <w:numFmt w:val="bullet"/>
      <w:lvlText w:val="•"/>
      <w:lvlJc w:val="left"/>
      <w:pPr>
        <w:ind w:left="2589" w:hanging="708.0000000000005"/>
      </w:pPr>
      <w:rPr/>
    </w:lvl>
    <w:lvl w:ilvl="3">
      <w:start w:val="0"/>
      <w:numFmt w:val="bullet"/>
      <w:lvlText w:val="•"/>
      <w:lvlJc w:val="left"/>
      <w:pPr>
        <w:ind w:left="3393" w:hanging="708"/>
      </w:pPr>
      <w:rPr/>
    </w:lvl>
    <w:lvl w:ilvl="4">
      <w:start w:val="0"/>
      <w:numFmt w:val="bullet"/>
      <w:lvlText w:val="•"/>
      <w:lvlJc w:val="left"/>
      <w:pPr>
        <w:ind w:left="4198" w:hanging="708"/>
      </w:pPr>
      <w:rPr/>
    </w:lvl>
    <w:lvl w:ilvl="5">
      <w:start w:val="0"/>
      <w:numFmt w:val="bullet"/>
      <w:lvlText w:val="•"/>
      <w:lvlJc w:val="left"/>
      <w:pPr>
        <w:ind w:left="5002" w:hanging="708"/>
      </w:pPr>
      <w:rPr/>
    </w:lvl>
    <w:lvl w:ilvl="6">
      <w:start w:val="0"/>
      <w:numFmt w:val="bullet"/>
      <w:lvlText w:val="•"/>
      <w:lvlJc w:val="left"/>
      <w:pPr>
        <w:ind w:left="5807" w:hanging="708"/>
      </w:pPr>
      <w:rPr/>
    </w:lvl>
    <w:lvl w:ilvl="7">
      <w:start w:val="0"/>
      <w:numFmt w:val="bullet"/>
      <w:lvlText w:val="•"/>
      <w:lvlJc w:val="left"/>
      <w:pPr>
        <w:ind w:left="6611" w:hanging="707.9999999999991"/>
      </w:pPr>
      <w:rPr/>
    </w:lvl>
    <w:lvl w:ilvl="8">
      <w:start w:val="0"/>
      <w:numFmt w:val="bullet"/>
      <w:lvlText w:val="•"/>
      <w:lvlJc w:val="left"/>
      <w:pPr>
        <w:ind w:left="7416" w:hanging="707.9999999999991"/>
      </w:pPr>
      <w:rPr/>
    </w:lvl>
  </w:abstractNum>
  <w:abstractNum w:abstractNumId="5">
    <w:lvl w:ilvl="0">
      <w:start w:val="10"/>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6">
    <w:lvl w:ilvl="0">
      <w:start w:val="9"/>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1"/>
      <w:numFmt w:val="decimal"/>
      <w:lvlText w:val="%1.%2.%3."/>
      <w:lvlJc w:val="left"/>
      <w:pPr>
        <w:ind w:left="1730" w:hanging="720"/>
      </w:pPr>
      <w:rPr>
        <w:rFonts w:ascii="Times New Roman" w:cs="Times New Roman" w:eastAsia="Times New Roman" w:hAnsi="Times New Roman"/>
        <w:sz w:val="22"/>
        <w:szCs w:val="22"/>
      </w:rPr>
    </w:lvl>
    <w:lvl w:ilvl="3">
      <w:start w:val="0"/>
      <w:numFmt w:val="bullet"/>
      <w:lvlText w:val="•"/>
      <w:lvlJc w:val="left"/>
      <w:pPr>
        <w:ind w:left="3359" w:hanging="720"/>
      </w:pPr>
      <w:rPr/>
    </w:lvl>
    <w:lvl w:ilvl="4">
      <w:start w:val="0"/>
      <w:numFmt w:val="bullet"/>
      <w:lvlText w:val="•"/>
      <w:lvlJc w:val="left"/>
      <w:pPr>
        <w:ind w:left="4168" w:hanging="720"/>
      </w:pPr>
      <w:rPr/>
    </w:lvl>
    <w:lvl w:ilvl="5">
      <w:start w:val="0"/>
      <w:numFmt w:val="bullet"/>
      <w:lvlText w:val="•"/>
      <w:lvlJc w:val="left"/>
      <w:pPr>
        <w:ind w:left="4978" w:hanging="720"/>
      </w:pPr>
      <w:rPr/>
    </w:lvl>
    <w:lvl w:ilvl="6">
      <w:start w:val="0"/>
      <w:numFmt w:val="bullet"/>
      <w:lvlText w:val="•"/>
      <w:lvlJc w:val="left"/>
      <w:pPr>
        <w:ind w:left="5787" w:hanging="720"/>
      </w:pPr>
      <w:rPr/>
    </w:lvl>
    <w:lvl w:ilvl="7">
      <w:start w:val="0"/>
      <w:numFmt w:val="bullet"/>
      <w:lvlText w:val="•"/>
      <w:lvlJc w:val="left"/>
      <w:pPr>
        <w:ind w:left="6597" w:hanging="720"/>
      </w:pPr>
      <w:rPr/>
    </w:lvl>
    <w:lvl w:ilvl="8">
      <w:start w:val="0"/>
      <w:numFmt w:val="bullet"/>
      <w:lvlText w:val="•"/>
      <w:lvlJc w:val="left"/>
      <w:pPr>
        <w:ind w:left="7406" w:hanging="720"/>
      </w:pPr>
      <w:rPr/>
    </w:lvl>
  </w:abstractNum>
  <w:abstractNum w:abstractNumId="7">
    <w:lvl w:ilvl="0">
      <w:start w:val="8"/>
      <w:numFmt w:val="decimal"/>
      <w:lvlText w:val="%1"/>
      <w:lvlJc w:val="left"/>
      <w:pPr>
        <w:ind w:left="981" w:hanging="720"/>
      </w:pPr>
      <w:rPr/>
    </w:lvl>
    <w:lvl w:ilvl="1">
      <w:start w:val="1"/>
      <w:numFmt w:val="decimal"/>
      <w:lvlText w:val="%1.%2."/>
      <w:lvlJc w:val="left"/>
      <w:pPr>
        <w:ind w:left="981" w:hanging="720"/>
      </w:pPr>
      <w:rPr>
        <w:rFonts w:ascii="Times New Roman" w:cs="Times New Roman" w:eastAsia="Times New Roman" w:hAnsi="Times New Roman"/>
        <w:sz w:val="22"/>
        <w:szCs w:val="22"/>
      </w:rPr>
    </w:lvl>
    <w:lvl w:ilvl="2">
      <w:start w:val="0"/>
      <w:numFmt w:val="bullet"/>
      <w:lvlText w:val="•"/>
      <w:lvlJc w:val="left"/>
      <w:pPr>
        <w:ind w:left="2589" w:hanging="720.0000000000002"/>
      </w:pPr>
      <w:rPr/>
    </w:lvl>
    <w:lvl w:ilvl="3">
      <w:start w:val="0"/>
      <w:numFmt w:val="bullet"/>
      <w:lvlText w:val="•"/>
      <w:lvlJc w:val="left"/>
      <w:pPr>
        <w:ind w:left="3393" w:hanging="720"/>
      </w:pPr>
      <w:rPr/>
    </w:lvl>
    <w:lvl w:ilvl="4">
      <w:start w:val="0"/>
      <w:numFmt w:val="bullet"/>
      <w:lvlText w:val="•"/>
      <w:lvlJc w:val="left"/>
      <w:pPr>
        <w:ind w:left="4198" w:hanging="720"/>
      </w:pPr>
      <w:rPr/>
    </w:lvl>
    <w:lvl w:ilvl="5">
      <w:start w:val="0"/>
      <w:numFmt w:val="bullet"/>
      <w:lvlText w:val="•"/>
      <w:lvlJc w:val="left"/>
      <w:pPr>
        <w:ind w:left="5002" w:hanging="720"/>
      </w:pPr>
      <w:rPr/>
    </w:lvl>
    <w:lvl w:ilvl="6">
      <w:start w:val="0"/>
      <w:numFmt w:val="bullet"/>
      <w:lvlText w:val="•"/>
      <w:lvlJc w:val="left"/>
      <w:pPr>
        <w:ind w:left="5807" w:hanging="720"/>
      </w:pPr>
      <w:rPr/>
    </w:lvl>
    <w:lvl w:ilvl="7">
      <w:start w:val="0"/>
      <w:numFmt w:val="bullet"/>
      <w:lvlText w:val="•"/>
      <w:lvlJc w:val="left"/>
      <w:pPr>
        <w:ind w:left="6611" w:hanging="720"/>
      </w:pPr>
      <w:rPr/>
    </w:lvl>
    <w:lvl w:ilvl="8">
      <w:start w:val="0"/>
      <w:numFmt w:val="bullet"/>
      <w:lvlText w:val="•"/>
      <w:lvlJc w:val="left"/>
      <w:pPr>
        <w:ind w:left="7416" w:hanging="720"/>
      </w:pPr>
      <w:rPr/>
    </w:lvl>
  </w:abstractNum>
  <w:abstractNum w:abstractNumId="8">
    <w:lvl w:ilvl="0">
      <w:start w:val="7"/>
      <w:numFmt w:val="decimal"/>
      <w:lvlText w:val="%1"/>
      <w:lvlJc w:val="left"/>
      <w:pPr>
        <w:ind w:left="969" w:hanging="707.9999999999999"/>
      </w:pPr>
      <w:rPr/>
    </w:lvl>
    <w:lvl w:ilvl="1">
      <w:start w:val="3"/>
      <w:numFmt w:val="decimal"/>
      <w:lvlText w:val="%1.%2"/>
      <w:lvlJc w:val="left"/>
      <w:pPr>
        <w:ind w:left="969" w:hanging="707.9999999999999"/>
      </w:pPr>
      <w:rPr>
        <w:rFonts w:ascii="Times New Roman" w:cs="Times New Roman" w:eastAsia="Times New Roman" w:hAnsi="Times New Roman"/>
        <w:sz w:val="22"/>
        <w:szCs w:val="22"/>
      </w:rPr>
    </w:lvl>
    <w:lvl w:ilvl="2">
      <w:start w:val="1"/>
      <w:numFmt w:val="lowerLetter"/>
      <w:lvlText w:val="%3)"/>
      <w:lvlJc w:val="left"/>
      <w:pPr>
        <w:ind w:left="2385" w:hanging="708"/>
      </w:pPr>
      <w:rPr>
        <w:rFonts w:ascii="Times New Roman" w:cs="Times New Roman" w:eastAsia="Times New Roman" w:hAnsi="Times New Roman"/>
        <w:sz w:val="22"/>
        <w:szCs w:val="22"/>
      </w:rPr>
    </w:lvl>
    <w:lvl w:ilvl="3">
      <w:start w:val="0"/>
      <w:numFmt w:val="bullet"/>
      <w:lvlText w:val="•"/>
      <w:lvlJc w:val="left"/>
      <w:pPr>
        <w:ind w:left="3856" w:hanging="708"/>
      </w:pPr>
      <w:rPr/>
    </w:lvl>
    <w:lvl w:ilvl="4">
      <w:start w:val="0"/>
      <w:numFmt w:val="bullet"/>
      <w:lvlText w:val="•"/>
      <w:lvlJc w:val="left"/>
      <w:pPr>
        <w:ind w:left="4595" w:hanging="708"/>
      </w:pPr>
      <w:rPr/>
    </w:lvl>
    <w:lvl w:ilvl="5">
      <w:start w:val="0"/>
      <w:numFmt w:val="bullet"/>
      <w:lvlText w:val="•"/>
      <w:lvlJc w:val="left"/>
      <w:pPr>
        <w:ind w:left="5333" w:hanging="708.0000000000009"/>
      </w:pPr>
      <w:rPr/>
    </w:lvl>
    <w:lvl w:ilvl="6">
      <w:start w:val="0"/>
      <w:numFmt w:val="bullet"/>
      <w:lvlText w:val="•"/>
      <w:lvlJc w:val="left"/>
      <w:pPr>
        <w:ind w:left="6071" w:hanging="707.9999999999991"/>
      </w:pPr>
      <w:rPr/>
    </w:lvl>
    <w:lvl w:ilvl="7">
      <w:start w:val="0"/>
      <w:numFmt w:val="bullet"/>
      <w:lvlText w:val="•"/>
      <w:lvlJc w:val="left"/>
      <w:pPr>
        <w:ind w:left="6810" w:hanging="708"/>
      </w:pPr>
      <w:rPr/>
    </w:lvl>
    <w:lvl w:ilvl="8">
      <w:start w:val="0"/>
      <w:numFmt w:val="bullet"/>
      <w:lvlText w:val="•"/>
      <w:lvlJc w:val="left"/>
      <w:pPr>
        <w:ind w:left="7548" w:hanging="708"/>
      </w:pPr>
      <w:rPr/>
    </w:lvl>
  </w:abstractNum>
  <w:abstractNum w:abstractNumId="9">
    <w:lvl w:ilvl="0">
      <w:start w:val="0"/>
      <w:numFmt w:val="bullet"/>
      <w:lvlText w:val="●"/>
      <w:lvlJc w:val="left"/>
      <w:pPr>
        <w:ind w:left="1680" w:hanging="358"/>
      </w:pPr>
      <w:rPr>
        <w:rFonts w:ascii="Noto Sans Symbols" w:cs="Noto Sans Symbols" w:eastAsia="Noto Sans Symbols" w:hAnsi="Noto Sans Symbols"/>
        <w:sz w:val="22"/>
        <w:szCs w:val="22"/>
      </w:rPr>
    </w:lvl>
    <w:lvl w:ilvl="1">
      <w:start w:val="0"/>
      <w:numFmt w:val="bullet"/>
      <w:lvlText w:val="●"/>
      <w:lvlJc w:val="left"/>
      <w:pPr>
        <w:ind w:left="1680" w:hanging="262"/>
      </w:pPr>
      <w:rPr>
        <w:rFonts w:ascii="Noto Sans Symbols" w:cs="Noto Sans Symbols" w:eastAsia="Noto Sans Symbols" w:hAnsi="Noto Sans Symbols"/>
        <w:sz w:val="22"/>
        <w:szCs w:val="22"/>
      </w:rPr>
    </w:lvl>
    <w:lvl w:ilvl="2">
      <w:start w:val="0"/>
      <w:numFmt w:val="bullet"/>
      <w:lvlText w:val="•"/>
      <w:lvlJc w:val="left"/>
      <w:pPr>
        <w:ind w:left="3149" w:hanging="262"/>
      </w:pPr>
      <w:rPr/>
    </w:lvl>
    <w:lvl w:ilvl="3">
      <w:start w:val="0"/>
      <w:numFmt w:val="bullet"/>
      <w:lvlText w:val="•"/>
      <w:lvlJc w:val="left"/>
      <w:pPr>
        <w:ind w:left="3883" w:hanging="262"/>
      </w:pPr>
      <w:rPr/>
    </w:lvl>
    <w:lvl w:ilvl="4">
      <w:start w:val="0"/>
      <w:numFmt w:val="bullet"/>
      <w:lvlText w:val="•"/>
      <w:lvlJc w:val="left"/>
      <w:pPr>
        <w:ind w:left="4618" w:hanging="262"/>
      </w:pPr>
      <w:rPr/>
    </w:lvl>
    <w:lvl w:ilvl="5">
      <w:start w:val="0"/>
      <w:numFmt w:val="bullet"/>
      <w:lvlText w:val="•"/>
      <w:lvlJc w:val="left"/>
      <w:pPr>
        <w:ind w:left="5352" w:hanging="261.9999999999991"/>
      </w:pPr>
      <w:rPr/>
    </w:lvl>
    <w:lvl w:ilvl="6">
      <w:start w:val="0"/>
      <w:numFmt w:val="bullet"/>
      <w:lvlText w:val="•"/>
      <w:lvlJc w:val="left"/>
      <w:pPr>
        <w:ind w:left="6087" w:hanging="262"/>
      </w:pPr>
      <w:rPr/>
    </w:lvl>
    <w:lvl w:ilvl="7">
      <w:start w:val="0"/>
      <w:numFmt w:val="bullet"/>
      <w:lvlText w:val="•"/>
      <w:lvlJc w:val="left"/>
      <w:pPr>
        <w:ind w:left="6821" w:hanging="262"/>
      </w:pPr>
      <w:rPr/>
    </w:lvl>
    <w:lvl w:ilvl="8">
      <w:start w:val="0"/>
      <w:numFmt w:val="bullet"/>
      <w:lvlText w:val="•"/>
      <w:lvlJc w:val="left"/>
      <w:pPr>
        <w:ind w:left="7556" w:hanging="262"/>
      </w:pPr>
      <w:rPr/>
    </w:lvl>
  </w:abstractNum>
  <w:abstractNum w:abstractNumId="10">
    <w:lvl w:ilvl="0">
      <w:start w:val="7"/>
      <w:numFmt w:val="decimal"/>
      <w:lvlText w:val="%1"/>
      <w:lvlJc w:val="left"/>
      <w:pPr>
        <w:ind w:left="981" w:hanging="720"/>
      </w:pPr>
      <w:rPr/>
    </w:lvl>
    <w:lvl w:ilvl="1">
      <w:start w:val="1"/>
      <w:numFmt w:val="decimal"/>
      <w:lvlText w:val="%1.%2."/>
      <w:lvlJc w:val="left"/>
      <w:pPr>
        <w:ind w:left="981" w:hanging="720"/>
      </w:pPr>
      <w:rPr>
        <w:rFonts w:ascii="Verdana" w:cs="Verdana" w:eastAsia="Verdana" w:hAnsi="Verdana"/>
        <w:sz w:val="22"/>
        <w:szCs w:val="22"/>
      </w:rPr>
    </w:lvl>
    <w:lvl w:ilvl="2">
      <w:start w:val="0"/>
      <w:numFmt w:val="bullet"/>
      <w:lvlText w:val="●"/>
      <w:lvlJc w:val="left"/>
      <w:pPr>
        <w:ind w:left="1680" w:hanging="262"/>
      </w:pPr>
      <w:rPr>
        <w:rFonts w:ascii="Noto Sans Symbols" w:cs="Noto Sans Symbols" w:eastAsia="Noto Sans Symbols" w:hAnsi="Noto Sans Symbols"/>
        <w:sz w:val="22"/>
        <w:szCs w:val="22"/>
      </w:rPr>
    </w:lvl>
    <w:lvl w:ilvl="3">
      <w:start w:val="0"/>
      <w:numFmt w:val="bullet"/>
      <w:lvlText w:val="•"/>
      <w:lvlJc w:val="left"/>
      <w:pPr>
        <w:ind w:left="3312" w:hanging="262"/>
      </w:pPr>
      <w:rPr/>
    </w:lvl>
    <w:lvl w:ilvl="4">
      <w:start w:val="0"/>
      <w:numFmt w:val="bullet"/>
      <w:lvlText w:val="•"/>
      <w:lvlJc w:val="left"/>
      <w:pPr>
        <w:ind w:left="4128" w:hanging="262"/>
      </w:pPr>
      <w:rPr/>
    </w:lvl>
    <w:lvl w:ilvl="5">
      <w:start w:val="0"/>
      <w:numFmt w:val="bullet"/>
      <w:lvlText w:val="•"/>
      <w:lvlJc w:val="left"/>
      <w:pPr>
        <w:ind w:left="4944" w:hanging="262"/>
      </w:pPr>
      <w:rPr/>
    </w:lvl>
    <w:lvl w:ilvl="6">
      <w:start w:val="0"/>
      <w:numFmt w:val="bullet"/>
      <w:lvlText w:val="•"/>
      <w:lvlJc w:val="left"/>
      <w:pPr>
        <w:ind w:left="5760" w:hanging="262"/>
      </w:pPr>
      <w:rPr/>
    </w:lvl>
    <w:lvl w:ilvl="7">
      <w:start w:val="0"/>
      <w:numFmt w:val="bullet"/>
      <w:lvlText w:val="•"/>
      <w:lvlJc w:val="left"/>
      <w:pPr>
        <w:ind w:left="6577" w:hanging="262"/>
      </w:pPr>
      <w:rPr/>
    </w:lvl>
    <w:lvl w:ilvl="8">
      <w:start w:val="0"/>
      <w:numFmt w:val="bullet"/>
      <w:lvlText w:val="•"/>
      <w:lvlJc w:val="left"/>
      <w:pPr>
        <w:ind w:left="7393" w:hanging="262.0000000000009"/>
      </w:pPr>
      <w:rPr/>
    </w:lvl>
  </w:abstractNum>
  <w:abstractNum w:abstractNumId="11">
    <w:lvl w:ilvl="0">
      <w:start w:val="5"/>
      <w:numFmt w:val="decimal"/>
      <w:lvlText w:val="%1"/>
      <w:lvlJc w:val="left"/>
      <w:pPr>
        <w:ind w:left="969" w:hanging="707.9999999999999"/>
      </w:pPr>
      <w:rPr/>
    </w:lvl>
    <w:lvl w:ilvl="1">
      <w:start w:val="1"/>
      <w:numFmt w:val="decimal"/>
      <w:lvlText w:val="%1.%2."/>
      <w:lvlJc w:val="left"/>
      <w:pPr>
        <w:ind w:left="969" w:hanging="707.9999999999999"/>
      </w:pPr>
      <w:rPr>
        <w:rFonts w:ascii="Times New Roman" w:cs="Times New Roman" w:eastAsia="Times New Roman" w:hAnsi="Times New Roman"/>
        <w:b w:val="0"/>
        <w:sz w:val="22"/>
        <w:szCs w:val="22"/>
      </w:rPr>
    </w:lvl>
    <w:lvl w:ilvl="2">
      <w:start w:val="1"/>
      <w:numFmt w:val="decimal"/>
      <w:lvlText w:val="%1.%2.%3."/>
      <w:lvlJc w:val="left"/>
      <w:pPr>
        <w:ind w:left="1680" w:hanging="754"/>
      </w:pPr>
      <w:rPr>
        <w:rFonts w:ascii="Times New Roman" w:cs="Times New Roman" w:eastAsia="Times New Roman" w:hAnsi="Times New Roman"/>
        <w:sz w:val="22"/>
        <w:szCs w:val="22"/>
      </w:rPr>
    </w:lvl>
    <w:lvl w:ilvl="3">
      <w:start w:val="0"/>
      <w:numFmt w:val="bullet"/>
      <w:lvlText w:val="•"/>
      <w:lvlJc w:val="left"/>
      <w:pPr>
        <w:ind w:left="3312" w:hanging="754"/>
      </w:pPr>
      <w:rPr/>
    </w:lvl>
    <w:lvl w:ilvl="4">
      <w:start w:val="0"/>
      <w:numFmt w:val="bullet"/>
      <w:lvlText w:val="•"/>
      <w:lvlJc w:val="left"/>
      <w:pPr>
        <w:ind w:left="4128" w:hanging="754"/>
      </w:pPr>
      <w:rPr/>
    </w:lvl>
    <w:lvl w:ilvl="5">
      <w:start w:val="0"/>
      <w:numFmt w:val="bullet"/>
      <w:lvlText w:val="•"/>
      <w:lvlJc w:val="left"/>
      <w:pPr>
        <w:ind w:left="4944" w:hanging="754"/>
      </w:pPr>
      <w:rPr/>
    </w:lvl>
    <w:lvl w:ilvl="6">
      <w:start w:val="0"/>
      <w:numFmt w:val="bullet"/>
      <w:lvlText w:val="•"/>
      <w:lvlJc w:val="left"/>
      <w:pPr>
        <w:ind w:left="5760" w:hanging="754"/>
      </w:pPr>
      <w:rPr/>
    </w:lvl>
    <w:lvl w:ilvl="7">
      <w:start w:val="0"/>
      <w:numFmt w:val="bullet"/>
      <w:lvlText w:val="•"/>
      <w:lvlJc w:val="left"/>
      <w:pPr>
        <w:ind w:left="6577" w:hanging="753.9999999999991"/>
      </w:pPr>
      <w:rPr/>
    </w:lvl>
    <w:lvl w:ilvl="8">
      <w:start w:val="0"/>
      <w:numFmt w:val="bullet"/>
      <w:lvlText w:val="•"/>
      <w:lvlJc w:val="left"/>
      <w:pPr>
        <w:ind w:left="7393" w:hanging="754"/>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Verdana" w:cs="Verdana" w:eastAsia="Verdana" w:hAnsi="Verdana"/>
        <w:sz w:val="22"/>
        <w:szCs w:val="22"/>
        <w:lang w:val="es-ES_tradnl"/>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61"/>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uiPriority w:val="1"/>
    <w:qFormat w:val="1"/>
    <w:rPr>
      <w:rFonts w:ascii="Verdana" w:cs="Verdana" w:eastAsia="Verdana" w:hAnsi="Verdana"/>
    </w:rPr>
  </w:style>
  <w:style w:type="paragraph" w:styleId="Ttulo1">
    <w:name w:val="heading 1"/>
    <w:basedOn w:val="Normal"/>
    <w:uiPriority w:val="1"/>
    <w:qFormat w:val="1"/>
    <w:pPr>
      <w:ind w:left="261"/>
      <w:outlineLvl w:val="0"/>
    </w:pPr>
    <w:rPr>
      <w:b w:val="1"/>
      <w:bCs w:val="1"/>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link w:val="TextoindependienteCar"/>
    <w:uiPriority w:val="1"/>
    <w:qFormat w:val="1"/>
  </w:style>
  <w:style w:type="paragraph" w:styleId="Prrafodelista">
    <w:name w:val="List Paragraph"/>
    <w:basedOn w:val="Normal"/>
    <w:uiPriority w:val="1"/>
    <w:qFormat w:val="1"/>
    <w:pPr>
      <w:ind w:left="981" w:right="255" w:hanging="720"/>
      <w:jc w:val="both"/>
    </w:pPr>
  </w:style>
  <w:style w:type="paragraph" w:styleId="TableParagraph" w:customStyle="1">
    <w:name w:val="Table Paragraph"/>
    <w:basedOn w:val="Normal"/>
    <w:uiPriority w:val="1"/>
    <w:qFormat w:val="1"/>
  </w:style>
  <w:style w:type="paragraph" w:styleId="Encabezado">
    <w:name w:val="header"/>
    <w:basedOn w:val="Normal"/>
    <w:link w:val="EncabezadoCar"/>
    <w:uiPriority w:val="99"/>
    <w:unhideWhenUsed w:val="1"/>
    <w:rsid w:val="00F46243"/>
    <w:pPr>
      <w:tabs>
        <w:tab w:val="center" w:pos="4252"/>
        <w:tab w:val="right" w:pos="8504"/>
      </w:tabs>
    </w:pPr>
  </w:style>
  <w:style w:type="character" w:styleId="EncabezadoCar" w:customStyle="1">
    <w:name w:val="Encabezado Car"/>
    <w:basedOn w:val="Fuentedeprrafopredeter"/>
    <w:link w:val="Encabezado"/>
    <w:uiPriority w:val="99"/>
    <w:rsid w:val="00F46243"/>
    <w:rPr>
      <w:rFonts w:ascii="Verdana" w:cs="Verdana" w:eastAsia="Verdana" w:hAnsi="Verdana"/>
    </w:rPr>
  </w:style>
  <w:style w:type="paragraph" w:styleId="Piedepgina">
    <w:name w:val="footer"/>
    <w:basedOn w:val="Normal"/>
    <w:link w:val="PiedepginaCar"/>
    <w:uiPriority w:val="99"/>
    <w:unhideWhenUsed w:val="1"/>
    <w:rsid w:val="00F46243"/>
    <w:pPr>
      <w:tabs>
        <w:tab w:val="center" w:pos="4252"/>
        <w:tab w:val="right" w:pos="8504"/>
      </w:tabs>
    </w:pPr>
  </w:style>
  <w:style w:type="character" w:styleId="PiedepginaCar" w:customStyle="1">
    <w:name w:val="Pie de página Car"/>
    <w:basedOn w:val="Fuentedeprrafopredeter"/>
    <w:link w:val="Piedepgina"/>
    <w:uiPriority w:val="99"/>
    <w:rsid w:val="00F46243"/>
    <w:rPr>
      <w:rFonts w:ascii="Verdana" w:cs="Verdana" w:eastAsia="Verdana" w:hAnsi="Verdana"/>
    </w:rPr>
  </w:style>
  <w:style w:type="paragraph" w:styleId="Textodeglobo">
    <w:name w:val="Balloon Text"/>
    <w:basedOn w:val="Normal"/>
    <w:link w:val="TextodegloboCar"/>
    <w:uiPriority w:val="99"/>
    <w:semiHidden w:val="1"/>
    <w:unhideWhenUsed w:val="1"/>
    <w:rsid w:val="00F46243"/>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F46243"/>
    <w:rPr>
      <w:rFonts w:ascii="Lucida Grande" w:cs="Lucida Grande" w:eastAsia="Verdana" w:hAnsi="Lucida Grande"/>
      <w:sz w:val="18"/>
      <w:szCs w:val="18"/>
    </w:rPr>
  </w:style>
  <w:style w:type="character" w:styleId="TextoindependienteCar" w:customStyle="1">
    <w:name w:val="Texto independiente Car"/>
    <w:basedOn w:val="Fuentedeprrafopredeter"/>
    <w:link w:val="Textoindependiente"/>
    <w:uiPriority w:val="1"/>
    <w:rsid w:val="00F2140C"/>
    <w:rPr>
      <w:rFonts w:ascii="Verdana" w:cs="Verdana" w:eastAsia="Verdana" w:hAnsi="Verdana"/>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4.xml"/><Relationship Id="rId10" Type="http://schemas.openxmlformats.org/officeDocument/2006/relationships/image" Target="media/image5.png"/><Relationship Id="rId13" Type="http://schemas.openxmlformats.org/officeDocument/2006/relationships/footer" Target="footer1.xml"/><Relationship Id="rId12" Type="http://schemas.openxmlformats.org/officeDocument/2006/relationships/header" Target="head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facturas@idiphim.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 Id="rId2"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BvGrJqI4t/WK+rRWZBQhX3iiA==">CgMxLjAyCGguZ2pkZ3hzMg5oLjkzb2NyMXV5Nmg1MjIOaC5uYW1kbXJwa242MXo4AHIhMW5LVnZPeGplTEMzYlFNbHFPOGtBeWtHUmJNaENTU21z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2023-06-23T07:38:00Z</dcterms:created>
  <dc:creator>Salinero Fort.Miguel Angel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2019-04-03T00:00:00Z</vt:filetime>
  </property>
  <property fmtid="{D5CDD505-2E9C-101B-9397-08002B2CF9AE}" pid="3" name="Creator">
    <vt:lpwstr>Microsoft Word - 2.Modelo Contrato Ensayos Clínicos.doc</vt:lpwstr>
  </property>
  <property fmtid="{D5CDD505-2E9C-101B-9397-08002B2CF9AE}" pid="4" name="LastSaved">
    <vt:filetime>2019-05-03T00:00:00Z</vt:filetime>
  </property>
</Properties>
</file>